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828" w:rsidRPr="00473828" w:rsidRDefault="00473828" w:rsidP="00473828">
      <w:pPr>
        <w:spacing w:line="360" w:lineRule="auto"/>
        <w:jc w:val="center"/>
        <w:rPr>
          <w:rFonts w:ascii="Times New Roman" w:hAnsi="Times New Roman" w:cs="Times New Roman"/>
          <w:b/>
          <w:sz w:val="24"/>
          <w:szCs w:val="24"/>
        </w:rPr>
      </w:pPr>
      <w:bookmarkStart w:id="0" w:name="_Toc519877294"/>
      <w:r w:rsidRPr="00473828">
        <w:rPr>
          <w:rFonts w:ascii="Times New Roman" w:hAnsi="Times New Roman" w:cs="Times New Roman"/>
          <w:b/>
          <w:sz w:val="24"/>
          <w:szCs w:val="24"/>
        </w:rPr>
        <w:t>A Nexus of Single Stock Futures, Market Efficiency and Volatility Dynamics: An Emerging Market’s Perspective</w:t>
      </w:r>
    </w:p>
    <w:p w:rsidR="00473828" w:rsidRPr="00473828" w:rsidRDefault="00473828" w:rsidP="00473828">
      <w:pPr>
        <w:spacing w:line="360" w:lineRule="auto"/>
        <w:jc w:val="center"/>
        <w:rPr>
          <w:rFonts w:ascii="Times New Roman" w:hAnsi="Times New Roman" w:cs="Times New Roman"/>
          <w:b/>
          <w:sz w:val="24"/>
          <w:szCs w:val="24"/>
        </w:rPr>
      </w:pPr>
    </w:p>
    <w:p w:rsidR="00473828" w:rsidRPr="00473828" w:rsidRDefault="00473828" w:rsidP="00473828">
      <w:pPr>
        <w:spacing w:line="360" w:lineRule="auto"/>
        <w:jc w:val="center"/>
        <w:rPr>
          <w:rFonts w:ascii="Times New Roman" w:hAnsi="Times New Roman" w:cs="Times New Roman"/>
          <w:b/>
          <w:sz w:val="24"/>
          <w:szCs w:val="24"/>
        </w:rPr>
      </w:pPr>
      <w:r w:rsidRPr="00473828">
        <w:rPr>
          <w:rFonts w:ascii="Times New Roman" w:hAnsi="Times New Roman" w:cs="Times New Roman"/>
          <w:b/>
          <w:sz w:val="24"/>
          <w:szCs w:val="24"/>
        </w:rPr>
        <w:t>By</w:t>
      </w:r>
    </w:p>
    <w:p w:rsidR="00473828" w:rsidRPr="00473828" w:rsidRDefault="00473828" w:rsidP="00473828">
      <w:pPr>
        <w:spacing w:line="360" w:lineRule="auto"/>
        <w:jc w:val="center"/>
        <w:rPr>
          <w:rFonts w:ascii="Times New Roman" w:hAnsi="Times New Roman" w:cs="Times New Roman"/>
          <w:b/>
          <w:sz w:val="24"/>
          <w:szCs w:val="24"/>
        </w:rPr>
      </w:pPr>
    </w:p>
    <w:p w:rsidR="00473828" w:rsidRPr="00473828" w:rsidRDefault="00473828" w:rsidP="00473828">
      <w:pPr>
        <w:spacing w:line="360" w:lineRule="auto"/>
        <w:jc w:val="center"/>
        <w:rPr>
          <w:rFonts w:ascii="Times New Roman" w:hAnsi="Times New Roman" w:cs="Times New Roman"/>
          <w:b/>
          <w:sz w:val="24"/>
          <w:szCs w:val="24"/>
        </w:rPr>
      </w:pPr>
      <w:r w:rsidRPr="00473828">
        <w:rPr>
          <w:rFonts w:ascii="Times New Roman" w:hAnsi="Times New Roman" w:cs="Times New Roman"/>
          <w:b/>
          <w:sz w:val="24"/>
          <w:szCs w:val="24"/>
        </w:rPr>
        <w:t>SadiaTabassam</w:t>
      </w:r>
    </w:p>
    <w:p w:rsidR="00473828" w:rsidRPr="00473828" w:rsidRDefault="00473828" w:rsidP="00473828">
      <w:pPr>
        <w:spacing w:line="360" w:lineRule="auto"/>
        <w:jc w:val="center"/>
        <w:rPr>
          <w:rFonts w:ascii="Times New Roman" w:hAnsi="Times New Roman" w:cs="Times New Roman"/>
          <w:b/>
          <w:sz w:val="24"/>
          <w:szCs w:val="24"/>
        </w:rPr>
      </w:pPr>
    </w:p>
    <w:p w:rsidR="00473828" w:rsidRPr="00473828" w:rsidRDefault="000C733C" w:rsidP="0047382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Thesis</w:t>
      </w:r>
      <w:r w:rsidR="00473828" w:rsidRPr="00473828">
        <w:rPr>
          <w:rFonts w:ascii="Times New Roman" w:hAnsi="Times New Roman" w:cs="Times New Roman"/>
          <w:b/>
          <w:sz w:val="24"/>
          <w:szCs w:val="24"/>
        </w:rPr>
        <w:t xml:space="preserve"> submitted to the Lahore School of Economics in partial fulfillment of the requirements for the degree of MPhil </w:t>
      </w:r>
    </w:p>
    <w:p w:rsidR="00473828" w:rsidRPr="00473828" w:rsidRDefault="00473828" w:rsidP="00473828">
      <w:pPr>
        <w:spacing w:line="360" w:lineRule="auto"/>
        <w:jc w:val="center"/>
        <w:rPr>
          <w:rFonts w:ascii="Times New Roman" w:hAnsi="Times New Roman" w:cs="Times New Roman"/>
          <w:b/>
          <w:sz w:val="24"/>
          <w:szCs w:val="24"/>
        </w:rPr>
      </w:pPr>
    </w:p>
    <w:p w:rsidR="00473828" w:rsidRPr="00473828" w:rsidRDefault="00473828" w:rsidP="00D62170">
      <w:pPr>
        <w:spacing w:line="360" w:lineRule="auto"/>
        <w:ind w:firstLine="720"/>
        <w:jc w:val="center"/>
        <w:rPr>
          <w:rFonts w:ascii="Times New Roman" w:hAnsi="Times New Roman" w:cs="Times New Roman"/>
          <w:b/>
          <w:sz w:val="24"/>
          <w:szCs w:val="24"/>
        </w:rPr>
      </w:pPr>
      <w:r w:rsidRPr="00473828">
        <w:rPr>
          <w:rFonts w:ascii="Times New Roman" w:hAnsi="Times New Roman" w:cs="Times New Roman"/>
          <w:b/>
          <w:sz w:val="24"/>
          <w:szCs w:val="24"/>
        </w:rPr>
        <w:t>2018</w:t>
      </w:r>
    </w:p>
    <w:p w:rsidR="00473828" w:rsidRPr="00473828" w:rsidRDefault="00473828" w:rsidP="00473828">
      <w:pPr>
        <w:spacing w:line="360" w:lineRule="auto"/>
        <w:jc w:val="center"/>
        <w:rPr>
          <w:rFonts w:ascii="Times New Roman" w:hAnsi="Times New Roman" w:cs="Times New Roman"/>
          <w:b/>
          <w:sz w:val="24"/>
          <w:szCs w:val="24"/>
        </w:rPr>
      </w:pPr>
    </w:p>
    <w:p w:rsidR="00473828" w:rsidRPr="00473828" w:rsidRDefault="00473828" w:rsidP="00473828">
      <w:pPr>
        <w:spacing w:line="360" w:lineRule="auto"/>
        <w:jc w:val="center"/>
        <w:rPr>
          <w:rFonts w:ascii="Times New Roman" w:hAnsi="Times New Roman" w:cs="Times New Roman"/>
          <w:b/>
          <w:sz w:val="24"/>
          <w:szCs w:val="24"/>
        </w:rPr>
      </w:pPr>
    </w:p>
    <w:p w:rsidR="00473828" w:rsidRPr="00473828" w:rsidRDefault="00473828" w:rsidP="00473828">
      <w:pPr>
        <w:spacing w:line="360" w:lineRule="auto"/>
        <w:jc w:val="center"/>
        <w:rPr>
          <w:rFonts w:ascii="Times New Roman" w:hAnsi="Times New Roman" w:cs="Times New Roman"/>
          <w:b/>
          <w:sz w:val="24"/>
          <w:szCs w:val="24"/>
        </w:rPr>
      </w:pPr>
      <w:r w:rsidRPr="00473828">
        <w:rPr>
          <w:rFonts w:ascii="Times New Roman" w:hAnsi="Times New Roman" w:cs="Times New Roman"/>
          <w:b/>
          <w:sz w:val="24"/>
          <w:szCs w:val="24"/>
        </w:rPr>
        <w:t>Supervised by: Dr. Syed Kumail Abbas Rizvi</w:t>
      </w:r>
    </w:p>
    <w:p w:rsidR="00473828" w:rsidRPr="00473828" w:rsidRDefault="00473828" w:rsidP="00473828">
      <w:pPr>
        <w:spacing w:line="360" w:lineRule="auto"/>
        <w:rPr>
          <w:rFonts w:ascii="Times New Roman" w:hAnsi="Times New Roman" w:cs="Times New Roman"/>
          <w:b/>
          <w:sz w:val="24"/>
          <w:szCs w:val="24"/>
        </w:rPr>
      </w:pPr>
    </w:p>
    <w:p w:rsidR="00473828" w:rsidRPr="00473828" w:rsidRDefault="00473828" w:rsidP="00473828">
      <w:pPr>
        <w:spacing w:line="360" w:lineRule="auto"/>
        <w:rPr>
          <w:rFonts w:ascii="Times New Roman" w:hAnsi="Times New Roman" w:cs="Times New Roman"/>
          <w:b/>
          <w:sz w:val="24"/>
          <w:szCs w:val="24"/>
        </w:rPr>
      </w:pPr>
    </w:p>
    <w:p w:rsidR="00473828" w:rsidRPr="00473828" w:rsidRDefault="00473828" w:rsidP="00473828">
      <w:pPr>
        <w:spacing w:line="360" w:lineRule="auto"/>
        <w:rPr>
          <w:rFonts w:ascii="Times New Roman" w:hAnsi="Times New Roman" w:cs="Times New Roman"/>
          <w:b/>
          <w:sz w:val="24"/>
          <w:szCs w:val="24"/>
        </w:rPr>
      </w:pPr>
    </w:p>
    <w:p w:rsidR="00473828" w:rsidRPr="00473828" w:rsidRDefault="00473828" w:rsidP="00473828">
      <w:pPr>
        <w:spacing w:line="360" w:lineRule="auto"/>
        <w:rPr>
          <w:rFonts w:ascii="Times New Roman" w:hAnsi="Times New Roman" w:cs="Times New Roman"/>
          <w:b/>
          <w:sz w:val="24"/>
          <w:szCs w:val="24"/>
        </w:rPr>
      </w:pPr>
    </w:p>
    <w:p w:rsidR="00473828" w:rsidRPr="00473828" w:rsidRDefault="00473828" w:rsidP="00473828">
      <w:pPr>
        <w:spacing w:line="360" w:lineRule="auto"/>
        <w:rPr>
          <w:rFonts w:ascii="Times New Roman" w:hAnsi="Times New Roman" w:cs="Times New Roman"/>
          <w:b/>
          <w:sz w:val="24"/>
          <w:szCs w:val="24"/>
        </w:rPr>
      </w:pPr>
    </w:p>
    <w:p w:rsidR="00473828" w:rsidRPr="00473828" w:rsidRDefault="00473828" w:rsidP="00473828">
      <w:pPr>
        <w:spacing w:line="360" w:lineRule="auto"/>
        <w:rPr>
          <w:rFonts w:ascii="Times New Roman" w:hAnsi="Times New Roman" w:cs="Times New Roman"/>
          <w:b/>
          <w:sz w:val="24"/>
          <w:szCs w:val="24"/>
        </w:rPr>
      </w:pPr>
    </w:p>
    <w:p w:rsidR="00473828" w:rsidRPr="00473828" w:rsidRDefault="00473828" w:rsidP="00473828">
      <w:pPr>
        <w:spacing w:line="360" w:lineRule="auto"/>
        <w:rPr>
          <w:rFonts w:ascii="Times New Roman" w:hAnsi="Times New Roman" w:cs="Times New Roman"/>
          <w:b/>
          <w:sz w:val="24"/>
          <w:szCs w:val="24"/>
        </w:rPr>
      </w:pPr>
    </w:p>
    <w:p w:rsidR="00473828" w:rsidRPr="00473828" w:rsidRDefault="00473828" w:rsidP="00473828">
      <w:pPr>
        <w:spacing w:line="360" w:lineRule="auto"/>
        <w:rPr>
          <w:rFonts w:ascii="Times New Roman" w:hAnsi="Times New Roman" w:cs="Times New Roman"/>
          <w:b/>
          <w:sz w:val="24"/>
          <w:szCs w:val="24"/>
        </w:rPr>
      </w:pPr>
    </w:p>
    <w:p w:rsidR="00473828" w:rsidRPr="00473828" w:rsidRDefault="00473828" w:rsidP="00473828">
      <w:pPr>
        <w:spacing w:line="360" w:lineRule="auto"/>
        <w:jc w:val="center"/>
        <w:rPr>
          <w:rFonts w:ascii="Times New Roman" w:hAnsi="Times New Roman" w:cs="Times New Roman"/>
          <w:b/>
          <w:sz w:val="24"/>
          <w:szCs w:val="24"/>
        </w:rPr>
      </w:pPr>
    </w:p>
    <w:p w:rsidR="00473828" w:rsidRPr="00473828" w:rsidRDefault="00473828" w:rsidP="00473828">
      <w:pPr>
        <w:spacing w:line="360" w:lineRule="auto"/>
        <w:rPr>
          <w:rFonts w:ascii="Times New Roman" w:hAnsi="Times New Roman" w:cs="Times New Roman"/>
          <w:b/>
          <w:sz w:val="24"/>
          <w:szCs w:val="24"/>
        </w:rPr>
      </w:pPr>
    </w:p>
    <w:sdt>
      <w:sdtPr>
        <w:rPr>
          <w:rFonts w:ascii="Times New Roman" w:eastAsiaTheme="minorHAnsi" w:hAnsi="Times New Roman" w:cs="Times New Roman"/>
          <w:b/>
          <w:color w:val="auto"/>
          <w:sz w:val="28"/>
          <w:szCs w:val="22"/>
        </w:rPr>
        <w:id w:val="-1663389661"/>
        <w:docPartObj>
          <w:docPartGallery w:val="Table of Contents"/>
          <w:docPartUnique/>
        </w:docPartObj>
      </w:sdtPr>
      <w:sdtEndPr>
        <w:rPr>
          <w:rFonts w:asciiTheme="minorHAnsi" w:hAnsiTheme="minorHAnsi" w:cstheme="minorBidi"/>
          <w:bCs/>
          <w:noProof/>
          <w:sz w:val="22"/>
        </w:rPr>
      </w:sdtEndPr>
      <w:sdtContent>
        <w:p w:rsidR="005D5A29" w:rsidRDefault="005637E5" w:rsidP="005637E5">
          <w:pPr>
            <w:pStyle w:val="TOCHeading"/>
            <w:jc w:val="center"/>
            <w:rPr>
              <w:rFonts w:ascii="Times New Roman" w:hAnsi="Times New Roman" w:cs="Times New Roman"/>
              <w:b/>
              <w:color w:val="auto"/>
              <w:sz w:val="28"/>
            </w:rPr>
          </w:pPr>
          <w:r w:rsidRPr="005637E5">
            <w:rPr>
              <w:rFonts w:ascii="Times New Roman" w:hAnsi="Times New Roman" w:cs="Times New Roman"/>
              <w:b/>
              <w:color w:val="auto"/>
              <w:sz w:val="28"/>
            </w:rPr>
            <w:t xml:space="preserve">Table of </w:t>
          </w:r>
          <w:r w:rsidR="005D5A29" w:rsidRPr="005637E5">
            <w:rPr>
              <w:rFonts w:ascii="Times New Roman" w:hAnsi="Times New Roman" w:cs="Times New Roman"/>
              <w:b/>
              <w:color w:val="auto"/>
              <w:sz w:val="28"/>
            </w:rPr>
            <w:t>Contents</w:t>
          </w:r>
        </w:p>
        <w:p w:rsidR="005637E5" w:rsidRPr="005637E5" w:rsidRDefault="005637E5" w:rsidP="005637E5"/>
        <w:p w:rsidR="00E77345" w:rsidRPr="00B022C6" w:rsidRDefault="008C0B72">
          <w:pPr>
            <w:pStyle w:val="TOC1"/>
            <w:tabs>
              <w:tab w:val="right" w:leader="dot" w:pos="9350"/>
            </w:tabs>
            <w:rPr>
              <w:rFonts w:ascii="Times New Roman" w:eastAsiaTheme="minorEastAsia" w:hAnsi="Times New Roman" w:cs="Times New Roman"/>
              <w:noProof/>
            </w:rPr>
          </w:pPr>
          <w:r>
            <w:fldChar w:fldCharType="begin"/>
          </w:r>
          <w:r w:rsidR="005B3FD7">
            <w:instrText xml:space="preserve"> TOC \o \h \z \u </w:instrText>
          </w:r>
          <w:r>
            <w:fldChar w:fldCharType="separate"/>
          </w:r>
          <w:hyperlink w:anchor="_Toc520219887" w:history="1">
            <w:r w:rsidR="00E77345" w:rsidRPr="00B022C6">
              <w:rPr>
                <w:rStyle w:val="Hyperlink"/>
                <w:rFonts w:ascii="Times New Roman" w:hAnsi="Times New Roman" w:cs="Times New Roman"/>
                <w:b/>
                <w:noProof/>
              </w:rPr>
              <w:t>CHAPTER 1: Introduction</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_Toc520219887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6</w:t>
            </w:r>
            <w:r w:rsidRPr="00B022C6">
              <w:rPr>
                <w:rFonts w:ascii="Times New Roman" w:hAnsi="Times New Roman" w:cs="Times New Roman"/>
                <w:noProof/>
                <w:webHidden/>
              </w:rPr>
              <w:fldChar w:fldCharType="end"/>
            </w:r>
          </w:hyperlink>
        </w:p>
        <w:p w:rsidR="00E77345" w:rsidRPr="00B022C6" w:rsidRDefault="008C0B72">
          <w:pPr>
            <w:pStyle w:val="TOC2"/>
            <w:tabs>
              <w:tab w:val="right" w:leader="dot" w:pos="9350"/>
            </w:tabs>
            <w:rPr>
              <w:rFonts w:ascii="Times New Roman" w:eastAsiaTheme="minorEastAsia" w:hAnsi="Times New Roman" w:cs="Times New Roman"/>
              <w:noProof/>
            </w:rPr>
          </w:pPr>
          <w:hyperlink w:anchor="_Toc520219888" w:history="1">
            <w:r w:rsidR="00E77345" w:rsidRPr="00B022C6">
              <w:rPr>
                <w:rStyle w:val="Hyperlink"/>
                <w:rFonts w:ascii="Times New Roman" w:hAnsi="Times New Roman" w:cs="Times New Roman"/>
                <w:noProof/>
              </w:rPr>
              <w:t>1.1 Research Objectives</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_Toc520219888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11</w:t>
            </w:r>
            <w:r w:rsidRPr="00B022C6">
              <w:rPr>
                <w:rFonts w:ascii="Times New Roman" w:hAnsi="Times New Roman" w:cs="Times New Roman"/>
                <w:noProof/>
                <w:webHidden/>
              </w:rPr>
              <w:fldChar w:fldCharType="end"/>
            </w:r>
          </w:hyperlink>
        </w:p>
        <w:p w:rsidR="00E77345" w:rsidRPr="00B022C6" w:rsidRDefault="008C0B72" w:rsidP="0076221A">
          <w:pPr>
            <w:pStyle w:val="TOC3"/>
            <w:tabs>
              <w:tab w:val="right" w:leader="dot" w:pos="9350"/>
            </w:tabs>
            <w:ind w:left="0"/>
            <w:rPr>
              <w:rFonts w:ascii="Times New Roman" w:eastAsiaTheme="minorEastAsia" w:hAnsi="Times New Roman" w:cs="Times New Roman"/>
              <w:noProof/>
            </w:rPr>
          </w:pPr>
          <w:hyperlink w:anchor="_Toc520219889" w:history="1">
            <w:r w:rsidR="00E77345" w:rsidRPr="00B022C6">
              <w:rPr>
                <w:rStyle w:val="Hyperlink"/>
                <w:rFonts w:ascii="Times New Roman" w:hAnsi="Times New Roman" w:cs="Times New Roman"/>
                <w:noProof/>
              </w:rPr>
              <w:t>1.2 Research Questions</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_Toc520219889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12</w:t>
            </w:r>
            <w:r w:rsidRPr="00B022C6">
              <w:rPr>
                <w:rFonts w:ascii="Times New Roman" w:hAnsi="Times New Roman" w:cs="Times New Roman"/>
                <w:noProof/>
                <w:webHidden/>
              </w:rPr>
              <w:fldChar w:fldCharType="end"/>
            </w:r>
          </w:hyperlink>
        </w:p>
        <w:p w:rsidR="00E77345" w:rsidRPr="00B022C6" w:rsidRDefault="008C0B72">
          <w:pPr>
            <w:pStyle w:val="TOC1"/>
            <w:tabs>
              <w:tab w:val="right" w:leader="dot" w:pos="9350"/>
            </w:tabs>
            <w:rPr>
              <w:rFonts w:ascii="Times New Roman" w:eastAsiaTheme="minorEastAsia" w:hAnsi="Times New Roman" w:cs="Times New Roman"/>
              <w:noProof/>
            </w:rPr>
          </w:pPr>
          <w:hyperlink w:anchor="_Toc520219890" w:history="1">
            <w:r w:rsidR="00E77345" w:rsidRPr="00B022C6">
              <w:rPr>
                <w:rStyle w:val="Hyperlink"/>
                <w:rFonts w:ascii="Times New Roman" w:hAnsi="Times New Roman" w:cs="Times New Roman"/>
                <w:b/>
                <w:noProof/>
              </w:rPr>
              <w:t>CHAPTER 2: Literature Review</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_Toc520219890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13</w:t>
            </w:r>
            <w:r w:rsidRPr="00B022C6">
              <w:rPr>
                <w:rFonts w:ascii="Times New Roman" w:hAnsi="Times New Roman" w:cs="Times New Roman"/>
                <w:noProof/>
                <w:webHidden/>
              </w:rPr>
              <w:fldChar w:fldCharType="end"/>
            </w:r>
          </w:hyperlink>
        </w:p>
        <w:p w:rsidR="00E77345" w:rsidRPr="00B022C6" w:rsidRDefault="008C0B72">
          <w:pPr>
            <w:pStyle w:val="TOC2"/>
            <w:tabs>
              <w:tab w:val="right" w:leader="dot" w:pos="9350"/>
            </w:tabs>
            <w:rPr>
              <w:rFonts w:ascii="Times New Roman" w:eastAsiaTheme="minorEastAsia" w:hAnsi="Times New Roman" w:cs="Times New Roman"/>
              <w:noProof/>
            </w:rPr>
          </w:pPr>
          <w:hyperlink w:anchor="_Toc520219891" w:history="1">
            <w:r w:rsidR="00E77345" w:rsidRPr="00B022C6">
              <w:rPr>
                <w:rStyle w:val="Hyperlink"/>
                <w:rFonts w:ascii="Times New Roman" w:hAnsi="Times New Roman" w:cs="Times New Roman"/>
                <w:noProof/>
                <w:u w:val="none"/>
              </w:rPr>
              <w:t>2.1 Futures Trading and Market Efficiency</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_Toc520219891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13</w:t>
            </w:r>
            <w:r w:rsidRPr="00B022C6">
              <w:rPr>
                <w:rFonts w:ascii="Times New Roman" w:hAnsi="Times New Roman" w:cs="Times New Roman"/>
                <w:noProof/>
                <w:webHidden/>
              </w:rPr>
              <w:fldChar w:fldCharType="end"/>
            </w:r>
          </w:hyperlink>
        </w:p>
        <w:p w:rsidR="00E77345" w:rsidRPr="00B022C6" w:rsidRDefault="008C0B72" w:rsidP="0076221A">
          <w:pPr>
            <w:pStyle w:val="TOC3"/>
            <w:tabs>
              <w:tab w:val="right" w:leader="dot" w:pos="9350"/>
            </w:tabs>
            <w:ind w:left="0"/>
            <w:rPr>
              <w:rFonts w:ascii="Times New Roman" w:eastAsiaTheme="minorEastAsia" w:hAnsi="Times New Roman" w:cs="Times New Roman"/>
              <w:noProof/>
            </w:rPr>
          </w:pPr>
          <w:hyperlink w:anchor="_Toc520219892" w:history="1">
            <w:r w:rsidR="00E77345" w:rsidRPr="00B022C6">
              <w:rPr>
                <w:rStyle w:val="Hyperlink"/>
                <w:rFonts w:ascii="Times New Roman" w:hAnsi="Times New Roman" w:cs="Times New Roman"/>
                <w:noProof/>
                <w:u w:val="none"/>
              </w:rPr>
              <w:t>2.2 Futures Trading and Market Volatility</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_Toc520219892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17</w:t>
            </w:r>
            <w:r w:rsidRPr="00B022C6">
              <w:rPr>
                <w:rFonts w:ascii="Times New Roman" w:hAnsi="Times New Roman" w:cs="Times New Roman"/>
                <w:noProof/>
                <w:webHidden/>
              </w:rPr>
              <w:fldChar w:fldCharType="end"/>
            </w:r>
          </w:hyperlink>
        </w:p>
        <w:p w:rsidR="00E77345" w:rsidRPr="00B022C6" w:rsidRDefault="008C0B72">
          <w:pPr>
            <w:pStyle w:val="TOC1"/>
            <w:tabs>
              <w:tab w:val="right" w:leader="dot" w:pos="9350"/>
            </w:tabs>
            <w:rPr>
              <w:rFonts w:ascii="Times New Roman" w:eastAsiaTheme="minorEastAsia" w:hAnsi="Times New Roman" w:cs="Times New Roman"/>
              <w:noProof/>
            </w:rPr>
          </w:pPr>
          <w:hyperlink w:anchor="_Toc520219893" w:history="1">
            <w:r w:rsidR="00E77345" w:rsidRPr="00B022C6">
              <w:rPr>
                <w:rStyle w:val="Hyperlink"/>
                <w:rFonts w:ascii="Times New Roman" w:hAnsi="Times New Roman" w:cs="Times New Roman"/>
                <w:b/>
                <w:noProof/>
              </w:rPr>
              <w:t>Chapter 3: Methodology</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_Toc520219893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25</w:t>
            </w:r>
            <w:r w:rsidRPr="00B022C6">
              <w:rPr>
                <w:rFonts w:ascii="Times New Roman" w:hAnsi="Times New Roman" w:cs="Times New Roman"/>
                <w:noProof/>
                <w:webHidden/>
              </w:rPr>
              <w:fldChar w:fldCharType="end"/>
            </w:r>
          </w:hyperlink>
        </w:p>
        <w:p w:rsidR="00E77345" w:rsidRPr="00B022C6" w:rsidRDefault="008C0B72">
          <w:pPr>
            <w:pStyle w:val="TOC2"/>
            <w:tabs>
              <w:tab w:val="right" w:leader="dot" w:pos="9350"/>
            </w:tabs>
            <w:rPr>
              <w:rFonts w:ascii="Times New Roman" w:eastAsiaTheme="minorEastAsia" w:hAnsi="Times New Roman" w:cs="Times New Roman"/>
              <w:noProof/>
            </w:rPr>
          </w:pPr>
          <w:hyperlink w:anchor="_Toc520219894" w:history="1">
            <w:r w:rsidR="00E77345" w:rsidRPr="00B022C6">
              <w:rPr>
                <w:rStyle w:val="Hyperlink"/>
                <w:rFonts w:ascii="Times New Roman" w:hAnsi="Times New Roman" w:cs="Times New Roman"/>
                <w:noProof/>
              </w:rPr>
              <w:t>3.1 Data</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_Toc520219894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25</w:t>
            </w:r>
            <w:r w:rsidRPr="00B022C6">
              <w:rPr>
                <w:rFonts w:ascii="Times New Roman" w:hAnsi="Times New Roman" w:cs="Times New Roman"/>
                <w:noProof/>
                <w:webHidden/>
              </w:rPr>
              <w:fldChar w:fldCharType="end"/>
            </w:r>
          </w:hyperlink>
        </w:p>
        <w:p w:rsidR="0076221A" w:rsidRPr="00B022C6" w:rsidRDefault="008C0B72" w:rsidP="0076221A">
          <w:pPr>
            <w:pStyle w:val="TOC3"/>
            <w:tabs>
              <w:tab w:val="right" w:leader="dot" w:pos="9350"/>
            </w:tabs>
            <w:ind w:left="0"/>
            <w:rPr>
              <w:rStyle w:val="Hyperlink"/>
              <w:rFonts w:ascii="Times New Roman" w:hAnsi="Times New Roman" w:cs="Times New Roman"/>
              <w:noProof/>
            </w:rPr>
          </w:pPr>
          <w:hyperlink w:anchor="_Toc520219895" w:history="1">
            <w:r w:rsidR="00E77345" w:rsidRPr="00B022C6">
              <w:rPr>
                <w:rStyle w:val="Hyperlink"/>
                <w:rFonts w:ascii="Times New Roman" w:hAnsi="Times New Roman" w:cs="Times New Roman"/>
                <w:noProof/>
              </w:rPr>
              <w:t>3.2 Review of Methodology</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_Toc520219895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27</w:t>
            </w:r>
            <w:r w:rsidRPr="00B022C6">
              <w:rPr>
                <w:rFonts w:ascii="Times New Roman" w:hAnsi="Times New Roman" w:cs="Times New Roman"/>
                <w:noProof/>
                <w:webHidden/>
              </w:rPr>
              <w:fldChar w:fldCharType="end"/>
            </w:r>
          </w:hyperlink>
        </w:p>
        <w:p w:rsidR="00E77345" w:rsidRPr="00B022C6" w:rsidRDefault="008C0B72" w:rsidP="0076221A">
          <w:pPr>
            <w:pStyle w:val="TOC3"/>
            <w:tabs>
              <w:tab w:val="right" w:leader="dot" w:pos="9350"/>
            </w:tabs>
            <w:ind w:left="0"/>
            <w:rPr>
              <w:rFonts w:ascii="Times New Roman" w:eastAsiaTheme="minorEastAsia" w:hAnsi="Times New Roman" w:cs="Times New Roman"/>
              <w:noProof/>
            </w:rPr>
          </w:pPr>
          <w:hyperlink w:anchor="_Toc520219896" w:history="1">
            <w:r w:rsidR="00E77345" w:rsidRPr="00B022C6">
              <w:rPr>
                <w:rStyle w:val="Hyperlink"/>
                <w:rFonts w:ascii="Times New Roman" w:hAnsi="Times New Roman" w:cs="Times New Roman"/>
                <w:noProof/>
              </w:rPr>
              <w:t>3.3 Model Specification</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_Toc520219896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31</w:t>
            </w:r>
            <w:r w:rsidRPr="00B022C6">
              <w:rPr>
                <w:rFonts w:ascii="Times New Roman" w:hAnsi="Times New Roman" w:cs="Times New Roman"/>
                <w:noProof/>
                <w:webHidden/>
              </w:rPr>
              <w:fldChar w:fldCharType="end"/>
            </w:r>
          </w:hyperlink>
        </w:p>
        <w:p w:rsidR="00E77345" w:rsidRPr="00B022C6" w:rsidRDefault="008C0B72" w:rsidP="0076221A">
          <w:pPr>
            <w:pStyle w:val="TOC5"/>
            <w:tabs>
              <w:tab w:val="right" w:leader="dot" w:pos="9350"/>
            </w:tabs>
            <w:ind w:left="0"/>
            <w:rPr>
              <w:rFonts w:ascii="Times New Roman" w:eastAsiaTheme="minorEastAsia" w:hAnsi="Times New Roman" w:cs="Times New Roman"/>
              <w:noProof/>
            </w:rPr>
          </w:pPr>
          <w:hyperlink w:anchor="_Toc520219897" w:history="1">
            <w:r w:rsidR="00E77345" w:rsidRPr="00B022C6">
              <w:rPr>
                <w:rStyle w:val="Hyperlink"/>
                <w:rFonts w:ascii="Times New Roman" w:hAnsi="Times New Roman" w:cs="Times New Roman"/>
                <w:noProof/>
              </w:rPr>
              <w:t>3.4 Hypothesis</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_Toc520219897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36</w:t>
            </w:r>
            <w:r w:rsidRPr="00B022C6">
              <w:rPr>
                <w:rFonts w:ascii="Times New Roman" w:hAnsi="Times New Roman" w:cs="Times New Roman"/>
                <w:noProof/>
                <w:webHidden/>
              </w:rPr>
              <w:fldChar w:fldCharType="end"/>
            </w:r>
          </w:hyperlink>
        </w:p>
        <w:p w:rsidR="00E77345" w:rsidRPr="00B022C6" w:rsidRDefault="008C0B72">
          <w:pPr>
            <w:pStyle w:val="TOC1"/>
            <w:tabs>
              <w:tab w:val="right" w:leader="dot" w:pos="9350"/>
            </w:tabs>
            <w:rPr>
              <w:rFonts w:ascii="Times New Roman" w:eastAsiaTheme="minorEastAsia" w:hAnsi="Times New Roman" w:cs="Times New Roman"/>
              <w:noProof/>
            </w:rPr>
          </w:pPr>
          <w:hyperlink w:anchor="_Toc520219898" w:history="1">
            <w:r w:rsidR="00E77345" w:rsidRPr="00B022C6">
              <w:rPr>
                <w:rStyle w:val="Hyperlink"/>
                <w:rFonts w:ascii="Times New Roman" w:hAnsi="Times New Roman" w:cs="Times New Roman"/>
                <w:b/>
                <w:noProof/>
              </w:rPr>
              <w:t>CHAPTER 4: Results and Analysis</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_Toc520219898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37</w:t>
            </w:r>
            <w:r w:rsidRPr="00B022C6">
              <w:rPr>
                <w:rFonts w:ascii="Times New Roman" w:hAnsi="Times New Roman" w:cs="Times New Roman"/>
                <w:noProof/>
                <w:webHidden/>
              </w:rPr>
              <w:fldChar w:fldCharType="end"/>
            </w:r>
          </w:hyperlink>
        </w:p>
        <w:p w:rsidR="00E77345" w:rsidRPr="00B022C6" w:rsidRDefault="008C0B72">
          <w:pPr>
            <w:pStyle w:val="TOC2"/>
            <w:tabs>
              <w:tab w:val="right" w:leader="dot" w:pos="9350"/>
            </w:tabs>
            <w:rPr>
              <w:rFonts w:ascii="Times New Roman" w:eastAsiaTheme="minorEastAsia" w:hAnsi="Times New Roman" w:cs="Times New Roman"/>
              <w:noProof/>
            </w:rPr>
          </w:pPr>
          <w:hyperlink w:anchor="_Toc520219899" w:history="1">
            <w:r w:rsidR="00E77345" w:rsidRPr="00B022C6">
              <w:rPr>
                <w:rStyle w:val="Hyperlink"/>
                <w:rFonts w:ascii="Times New Roman" w:hAnsi="Times New Roman" w:cs="Times New Roman"/>
                <w:b/>
                <w:noProof/>
              </w:rPr>
              <w:t>4.1 Descriptive Statistics</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_Toc520219899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37</w:t>
            </w:r>
            <w:r w:rsidRPr="00B022C6">
              <w:rPr>
                <w:rFonts w:ascii="Times New Roman" w:hAnsi="Times New Roman" w:cs="Times New Roman"/>
                <w:noProof/>
                <w:webHidden/>
              </w:rPr>
              <w:fldChar w:fldCharType="end"/>
            </w:r>
          </w:hyperlink>
        </w:p>
        <w:p w:rsidR="00E77345" w:rsidRPr="00B022C6" w:rsidRDefault="008C0B72" w:rsidP="0076221A">
          <w:pPr>
            <w:pStyle w:val="TOC3"/>
            <w:tabs>
              <w:tab w:val="right" w:leader="dot" w:pos="9350"/>
            </w:tabs>
            <w:ind w:left="0"/>
            <w:rPr>
              <w:rFonts w:ascii="Times New Roman" w:eastAsiaTheme="minorEastAsia" w:hAnsi="Times New Roman" w:cs="Times New Roman"/>
              <w:noProof/>
            </w:rPr>
          </w:pPr>
          <w:hyperlink w:anchor="_Toc520219900" w:history="1">
            <w:r w:rsidR="00E77345" w:rsidRPr="00B022C6">
              <w:rPr>
                <w:rStyle w:val="Hyperlink"/>
                <w:rFonts w:ascii="Times New Roman" w:hAnsi="Times New Roman" w:cs="Times New Roman"/>
                <w:b/>
                <w:noProof/>
              </w:rPr>
              <w:t>4.2 Empirical Results</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_Toc520219900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41</w:t>
            </w:r>
            <w:r w:rsidRPr="00B022C6">
              <w:rPr>
                <w:rFonts w:ascii="Times New Roman" w:hAnsi="Times New Roman" w:cs="Times New Roman"/>
                <w:noProof/>
                <w:webHidden/>
              </w:rPr>
              <w:fldChar w:fldCharType="end"/>
            </w:r>
          </w:hyperlink>
        </w:p>
        <w:p w:rsidR="00E77345" w:rsidRPr="00B022C6" w:rsidRDefault="008C0B72" w:rsidP="0076221A">
          <w:pPr>
            <w:pStyle w:val="TOC4"/>
            <w:tabs>
              <w:tab w:val="right" w:leader="dot" w:pos="9350"/>
            </w:tabs>
            <w:ind w:left="0"/>
            <w:rPr>
              <w:rFonts w:ascii="Times New Roman" w:eastAsiaTheme="minorEastAsia" w:hAnsi="Times New Roman" w:cs="Times New Roman"/>
              <w:noProof/>
            </w:rPr>
          </w:pPr>
          <w:hyperlink w:anchor="_Toc520219901" w:history="1">
            <w:r w:rsidR="00E77345" w:rsidRPr="00B022C6">
              <w:rPr>
                <w:rStyle w:val="Hyperlink"/>
                <w:rFonts w:ascii="Times New Roman" w:hAnsi="Times New Roman" w:cs="Times New Roman"/>
                <w:noProof/>
              </w:rPr>
              <w:t>4.2.1 CAPM: Alpha Returns and Systematic Risk</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_Toc520219901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41</w:t>
            </w:r>
            <w:r w:rsidRPr="00B022C6">
              <w:rPr>
                <w:rFonts w:ascii="Times New Roman" w:hAnsi="Times New Roman" w:cs="Times New Roman"/>
                <w:noProof/>
                <w:webHidden/>
              </w:rPr>
              <w:fldChar w:fldCharType="end"/>
            </w:r>
          </w:hyperlink>
        </w:p>
        <w:p w:rsidR="00E77345" w:rsidRPr="00B022C6" w:rsidRDefault="008C0B72" w:rsidP="0076221A">
          <w:pPr>
            <w:pStyle w:val="TOC5"/>
            <w:tabs>
              <w:tab w:val="right" w:leader="dot" w:pos="9350"/>
            </w:tabs>
            <w:ind w:left="0"/>
            <w:rPr>
              <w:rFonts w:ascii="Times New Roman" w:eastAsiaTheme="minorEastAsia" w:hAnsi="Times New Roman" w:cs="Times New Roman"/>
              <w:noProof/>
            </w:rPr>
          </w:pPr>
          <w:hyperlink w:anchor="_Toc520219902" w:history="1">
            <w:r w:rsidR="00E77345" w:rsidRPr="00B022C6">
              <w:rPr>
                <w:rStyle w:val="Hyperlink"/>
                <w:rFonts w:ascii="Times New Roman" w:hAnsi="Times New Roman" w:cs="Times New Roman"/>
                <w:noProof/>
              </w:rPr>
              <w:t xml:space="preserve">4.2.2 </w:t>
            </w:r>
            <w:r w:rsidR="00B157DF" w:rsidRPr="00B022C6">
              <w:rPr>
                <w:rStyle w:val="Hyperlink"/>
                <w:rFonts w:ascii="Times New Roman" w:hAnsi="Times New Roman" w:cs="Times New Roman"/>
                <w:noProof/>
              </w:rPr>
              <w:t xml:space="preserve">Multiple </w:t>
            </w:r>
            <w:r w:rsidR="00E77345" w:rsidRPr="00B022C6">
              <w:rPr>
                <w:rStyle w:val="Hyperlink"/>
                <w:rFonts w:ascii="Times New Roman" w:hAnsi="Times New Roman" w:cs="Times New Roman"/>
                <w:noProof/>
              </w:rPr>
              <w:t>Factor Model</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_Toc520219902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46</w:t>
            </w:r>
            <w:r w:rsidRPr="00B022C6">
              <w:rPr>
                <w:rFonts w:ascii="Times New Roman" w:hAnsi="Times New Roman" w:cs="Times New Roman"/>
                <w:noProof/>
                <w:webHidden/>
              </w:rPr>
              <w:fldChar w:fldCharType="end"/>
            </w:r>
          </w:hyperlink>
        </w:p>
        <w:p w:rsidR="00E77345" w:rsidRPr="00B022C6" w:rsidRDefault="008C0B72" w:rsidP="0076221A">
          <w:pPr>
            <w:pStyle w:val="TOC5"/>
            <w:tabs>
              <w:tab w:val="right" w:leader="dot" w:pos="9350"/>
            </w:tabs>
            <w:ind w:left="0"/>
            <w:rPr>
              <w:rFonts w:ascii="Times New Roman" w:eastAsiaTheme="minorEastAsia" w:hAnsi="Times New Roman" w:cs="Times New Roman"/>
              <w:noProof/>
            </w:rPr>
          </w:pPr>
          <w:hyperlink w:anchor="_Toc520219903" w:history="1">
            <w:r w:rsidR="00E77345" w:rsidRPr="00B022C6">
              <w:rPr>
                <w:rStyle w:val="Hyperlink"/>
                <w:rFonts w:ascii="Times New Roman" w:hAnsi="Times New Roman" w:cs="Times New Roman"/>
                <w:noProof/>
              </w:rPr>
              <w:t>4.2.3. Control for Large Sectors</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_Toc520219903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51</w:t>
            </w:r>
            <w:r w:rsidRPr="00B022C6">
              <w:rPr>
                <w:rFonts w:ascii="Times New Roman" w:hAnsi="Times New Roman" w:cs="Times New Roman"/>
                <w:noProof/>
                <w:webHidden/>
              </w:rPr>
              <w:fldChar w:fldCharType="end"/>
            </w:r>
          </w:hyperlink>
        </w:p>
        <w:p w:rsidR="00E77345" w:rsidRPr="00B022C6" w:rsidRDefault="008C0B72" w:rsidP="0076221A">
          <w:pPr>
            <w:pStyle w:val="TOC6"/>
            <w:tabs>
              <w:tab w:val="right" w:leader="dot" w:pos="9350"/>
            </w:tabs>
            <w:ind w:left="0"/>
            <w:rPr>
              <w:rFonts w:ascii="Times New Roman" w:eastAsiaTheme="minorEastAsia" w:hAnsi="Times New Roman" w:cs="Times New Roman"/>
              <w:noProof/>
            </w:rPr>
          </w:pPr>
          <w:hyperlink w:anchor="_Toc520219904" w:history="1">
            <w:r w:rsidR="00E77345" w:rsidRPr="00B022C6">
              <w:rPr>
                <w:rStyle w:val="Hyperlink"/>
                <w:rFonts w:ascii="Times New Roman" w:hAnsi="Times New Roman" w:cs="Times New Roman"/>
                <w:noProof/>
              </w:rPr>
              <w:t>4.2.4. Volatility: Excess Returns</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_Toc520219904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53</w:t>
            </w:r>
            <w:r w:rsidRPr="00B022C6">
              <w:rPr>
                <w:rFonts w:ascii="Times New Roman" w:hAnsi="Times New Roman" w:cs="Times New Roman"/>
                <w:noProof/>
                <w:webHidden/>
              </w:rPr>
              <w:fldChar w:fldCharType="end"/>
            </w:r>
          </w:hyperlink>
        </w:p>
        <w:p w:rsidR="00E77345" w:rsidRPr="00B022C6" w:rsidRDefault="008C0B72" w:rsidP="00A5573A">
          <w:pPr>
            <w:pStyle w:val="TOC7"/>
            <w:rPr>
              <w:rFonts w:eastAsiaTheme="minorEastAsia"/>
            </w:rPr>
          </w:pPr>
          <w:hyperlink w:anchor="_Toc520219905" w:history="1">
            <w:r w:rsidR="00E77345" w:rsidRPr="00B022C6">
              <w:rPr>
                <w:rStyle w:val="Hyperlink"/>
                <w:b w:val="0"/>
              </w:rPr>
              <w:t>4.2.5 Tests of Equality for Means</w:t>
            </w:r>
            <w:r w:rsidR="00E77345" w:rsidRPr="00B022C6">
              <w:rPr>
                <w:b w:val="0"/>
                <w:webHidden/>
              </w:rPr>
              <w:tab/>
            </w:r>
            <w:r w:rsidRPr="00B022C6">
              <w:rPr>
                <w:b w:val="0"/>
                <w:webHidden/>
              </w:rPr>
              <w:fldChar w:fldCharType="begin"/>
            </w:r>
            <w:r w:rsidR="00E77345" w:rsidRPr="00B022C6">
              <w:rPr>
                <w:b w:val="0"/>
                <w:webHidden/>
              </w:rPr>
              <w:instrText xml:space="preserve"> PAGEREF _Toc520219905 \h </w:instrText>
            </w:r>
            <w:r w:rsidRPr="00B022C6">
              <w:rPr>
                <w:b w:val="0"/>
                <w:webHidden/>
              </w:rPr>
            </w:r>
            <w:r w:rsidRPr="00B022C6">
              <w:rPr>
                <w:b w:val="0"/>
                <w:webHidden/>
              </w:rPr>
              <w:fldChar w:fldCharType="separate"/>
            </w:r>
            <w:r w:rsidR="00685D1D">
              <w:rPr>
                <w:b w:val="0"/>
                <w:webHidden/>
              </w:rPr>
              <w:t>55</w:t>
            </w:r>
            <w:r w:rsidRPr="00B022C6">
              <w:rPr>
                <w:b w:val="0"/>
                <w:webHidden/>
              </w:rPr>
              <w:fldChar w:fldCharType="end"/>
            </w:r>
          </w:hyperlink>
        </w:p>
        <w:p w:rsidR="00E77345" w:rsidRPr="00B022C6" w:rsidRDefault="008C0B72">
          <w:pPr>
            <w:pStyle w:val="TOC1"/>
            <w:tabs>
              <w:tab w:val="right" w:leader="dot" w:pos="9350"/>
            </w:tabs>
            <w:rPr>
              <w:rFonts w:ascii="Times New Roman" w:eastAsiaTheme="minorEastAsia" w:hAnsi="Times New Roman" w:cs="Times New Roman"/>
              <w:noProof/>
            </w:rPr>
          </w:pPr>
          <w:hyperlink w:anchor="_Toc520219906" w:history="1">
            <w:r w:rsidR="00E77345" w:rsidRPr="00B022C6">
              <w:rPr>
                <w:rStyle w:val="Hyperlink"/>
                <w:rFonts w:ascii="Times New Roman" w:hAnsi="Times New Roman" w:cs="Times New Roman"/>
                <w:b/>
                <w:noProof/>
              </w:rPr>
              <w:t>CHAPTER 5: Conclusion</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_Toc520219906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58</w:t>
            </w:r>
            <w:r w:rsidRPr="00B022C6">
              <w:rPr>
                <w:rFonts w:ascii="Times New Roman" w:hAnsi="Times New Roman" w:cs="Times New Roman"/>
                <w:noProof/>
                <w:webHidden/>
              </w:rPr>
              <w:fldChar w:fldCharType="end"/>
            </w:r>
          </w:hyperlink>
        </w:p>
        <w:p w:rsidR="00E77345" w:rsidRPr="00B022C6" w:rsidRDefault="008C0B72">
          <w:pPr>
            <w:pStyle w:val="TOC1"/>
            <w:tabs>
              <w:tab w:val="right" w:leader="dot" w:pos="9350"/>
            </w:tabs>
            <w:rPr>
              <w:rFonts w:ascii="Times New Roman" w:eastAsiaTheme="minorEastAsia" w:hAnsi="Times New Roman" w:cs="Times New Roman"/>
              <w:noProof/>
            </w:rPr>
          </w:pPr>
          <w:hyperlink w:anchor="_Toc520219907" w:history="1">
            <w:r w:rsidR="00E77345" w:rsidRPr="00B022C6">
              <w:rPr>
                <w:rStyle w:val="Hyperlink"/>
                <w:rFonts w:ascii="Times New Roman" w:hAnsi="Times New Roman" w:cs="Times New Roman"/>
                <w:b/>
                <w:noProof/>
              </w:rPr>
              <w:t>CHAPTER 6: Bibliography</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_Toc520219907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62</w:t>
            </w:r>
            <w:r w:rsidRPr="00B022C6">
              <w:rPr>
                <w:rFonts w:ascii="Times New Roman" w:hAnsi="Times New Roman" w:cs="Times New Roman"/>
                <w:noProof/>
                <w:webHidden/>
              </w:rPr>
              <w:fldChar w:fldCharType="end"/>
            </w:r>
          </w:hyperlink>
        </w:p>
        <w:p w:rsidR="00E77345" w:rsidRPr="00B022C6" w:rsidRDefault="008C0B72">
          <w:pPr>
            <w:pStyle w:val="TOC1"/>
            <w:tabs>
              <w:tab w:val="right" w:leader="dot" w:pos="9350"/>
            </w:tabs>
            <w:rPr>
              <w:rFonts w:ascii="Times New Roman" w:eastAsiaTheme="minorEastAsia" w:hAnsi="Times New Roman" w:cs="Times New Roman"/>
              <w:noProof/>
            </w:rPr>
          </w:pPr>
          <w:hyperlink w:anchor="_Toc520219908" w:history="1">
            <w:r w:rsidR="00E77345" w:rsidRPr="00B022C6">
              <w:rPr>
                <w:rStyle w:val="Hyperlink"/>
                <w:rFonts w:ascii="Times New Roman" w:hAnsi="Times New Roman" w:cs="Times New Roman"/>
                <w:b/>
                <w:noProof/>
                <w:shd w:val="clear" w:color="auto" w:fill="FFFFFF"/>
              </w:rPr>
              <w:t>Appendix</w:t>
            </w:r>
            <w:r w:rsidR="00E77345" w:rsidRPr="00B022C6">
              <w:rPr>
                <w:rFonts w:ascii="Times New Roman" w:hAnsi="Times New Roman" w:cs="Times New Roman"/>
                <w:noProof/>
                <w:webHidden/>
              </w:rPr>
              <w:tab/>
            </w:r>
            <w:r w:rsidRPr="00B022C6">
              <w:rPr>
                <w:rFonts w:ascii="Times New Roman" w:hAnsi="Times New Roman" w:cs="Times New Roman"/>
                <w:noProof/>
                <w:webHidden/>
              </w:rPr>
              <w:fldChar w:fldCharType="begin"/>
            </w:r>
            <w:r w:rsidR="00E77345" w:rsidRPr="00B022C6">
              <w:rPr>
                <w:rFonts w:ascii="Times New Roman" w:hAnsi="Times New Roman" w:cs="Times New Roman"/>
                <w:noProof/>
                <w:webHidden/>
              </w:rPr>
              <w:instrText xml:space="preserve"> PAGEREF _Toc520219908 \h </w:instrText>
            </w:r>
            <w:r w:rsidRPr="00B022C6">
              <w:rPr>
                <w:rFonts w:ascii="Times New Roman" w:hAnsi="Times New Roman" w:cs="Times New Roman"/>
                <w:noProof/>
                <w:webHidden/>
              </w:rPr>
            </w:r>
            <w:r w:rsidRPr="00B022C6">
              <w:rPr>
                <w:rFonts w:ascii="Times New Roman" w:hAnsi="Times New Roman" w:cs="Times New Roman"/>
                <w:noProof/>
                <w:webHidden/>
              </w:rPr>
              <w:fldChar w:fldCharType="separate"/>
            </w:r>
            <w:r w:rsidR="00685D1D">
              <w:rPr>
                <w:rFonts w:ascii="Times New Roman" w:hAnsi="Times New Roman" w:cs="Times New Roman"/>
                <w:noProof/>
                <w:webHidden/>
              </w:rPr>
              <w:t>66</w:t>
            </w:r>
            <w:r w:rsidRPr="00B022C6">
              <w:rPr>
                <w:rFonts w:ascii="Times New Roman" w:hAnsi="Times New Roman" w:cs="Times New Roman"/>
                <w:noProof/>
                <w:webHidden/>
              </w:rPr>
              <w:fldChar w:fldCharType="end"/>
            </w:r>
          </w:hyperlink>
        </w:p>
        <w:p w:rsidR="005D5A29" w:rsidRDefault="008C0B72">
          <w:r>
            <w:fldChar w:fldCharType="end"/>
          </w:r>
        </w:p>
      </w:sdtContent>
    </w:sdt>
    <w:p w:rsidR="00473828" w:rsidRDefault="00473828" w:rsidP="00473828">
      <w:pPr>
        <w:spacing w:line="360" w:lineRule="auto"/>
        <w:rPr>
          <w:rFonts w:cstheme="minorHAnsi"/>
          <w:sz w:val="24"/>
          <w:szCs w:val="24"/>
        </w:rPr>
      </w:pPr>
    </w:p>
    <w:p w:rsidR="00865555" w:rsidRDefault="00865555" w:rsidP="00473828">
      <w:pPr>
        <w:spacing w:line="360" w:lineRule="auto"/>
        <w:rPr>
          <w:rFonts w:cstheme="minorHAnsi"/>
          <w:sz w:val="24"/>
          <w:szCs w:val="24"/>
        </w:rPr>
      </w:pPr>
    </w:p>
    <w:p w:rsidR="00237143" w:rsidRDefault="00237143" w:rsidP="00473828">
      <w:pPr>
        <w:spacing w:line="360" w:lineRule="auto"/>
        <w:rPr>
          <w:rFonts w:cstheme="minorHAnsi"/>
          <w:sz w:val="24"/>
          <w:szCs w:val="24"/>
        </w:rPr>
      </w:pPr>
    </w:p>
    <w:p w:rsidR="00237143" w:rsidRDefault="00237143" w:rsidP="00473828">
      <w:pPr>
        <w:spacing w:line="360" w:lineRule="auto"/>
        <w:rPr>
          <w:rFonts w:cstheme="minorHAnsi"/>
          <w:sz w:val="24"/>
          <w:szCs w:val="24"/>
        </w:rPr>
      </w:pPr>
    </w:p>
    <w:p w:rsidR="00237143" w:rsidRPr="00473828" w:rsidRDefault="00237143" w:rsidP="00473828">
      <w:pPr>
        <w:rPr>
          <w:rFonts w:ascii="Times New Roman" w:hAnsi="Times New Roman" w:cs="Times New Roman"/>
          <w:b/>
          <w:sz w:val="24"/>
        </w:rPr>
      </w:pPr>
    </w:p>
    <w:p w:rsidR="000C733C" w:rsidRPr="00473828" w:rsidRDefault="000C733C" w:rsidP="000C733C">
      <w:pPr>
        <w:spacing w:line="480" w:lineRule="auto"/>
        <w:jc w:val="both"/>
        <w:rPr>
          <w:rFonts w:ascii="Times New Roman" w:hAnsi="Times New Roman" w:cs="Times New Roman"/>
          <w:b/>
          <w:sz w:val="24"/>
        </w:rPr>
      </w:pPr>
      <w:r w:rsidRPr="004C602B">
        <w:rPr>
          <w:rFonts w:ascii="Times New Roman" w:hAnsi="Times New Roman" w:cs="Times New Roman"/>
          <w:b/>
          <w:sz w:val="28"/>
        </w:rPr>
        <w:lastRenderedPageBreak/>
        <w:t>Acknowledgements</w:t>
      </w:r>
    </w:p>
    <w:p w:rsidR="000C733C" w:rsidRPr="00473828" w:rsidRDefault="000C733C" w:rsidP="000C733C">
      <w:pPr>
        <w:spacing w:line="480" w:lineRule="auto"/>
        <w:jc w:val="both"/>
        <w:rPr>
          <w:rFonts w:ascii="Times New Roman" w:hAnsi="Times New Roman" w:cs="Times New Roman"/>
          <w:sz w:val="24"/>
        </w:rPr>
      </w:pPr>
      <w:r w:rsidRPr="00473828">
        <w:rPr>
          <w:rFonts w:ascii="Times New Roman" w:hAnsi="Times New Roman" w:cs="Times New Roman"/>
          <w:sz w:val="24"/>
        </w:rPr>
        <w:t xml:space="preserve">I would like to commence by expressing my firm belief in Allah who has bestowed upon me His utmost blessings throughout my life. </w:t>
      </w:r>
    </w:p>
    <w:p w:rsidR="000C733C" w:rsidRPr="00473828" w:rsidRDefault="000C733C" w:rsidP="000C733C">
      <w:pPr>
        <w:spacing w:line="480" w:lineRule="auto"/>
        <w:jc w:val="both"/>
        <w:rPr>
          <w:rFonts w:ascii="Times New Roman" w:hAnsi="Times New Roman" w:cs="Times New Roman"/>
          <w:sz w:val="24"/>
        </w:rPr>
      </w:pPr>
      <w:r w:rsidRPr="00473828">
        <w:rPr>
          <w:rFonts w:ascii="Times New Roman" w:hAnsi="Times New Roman" w:cs="Times New Roman"/>
          <w:sz w:val="24"/>
        </w:rPr>
        <w:t>I would like to express my sincere regard to all the people without whose support and encouragement I would not have been able to finish my thesis.</w:t>
      </w:r>
    </w:p>
    <w:p w:rsidR="000C733C" w:rsidRPr="00473828" w:rsidRDefault="000C733C" w:rsidP="000C733C">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Firstly, I would like to offer my deepest gratitude to my supervisor, Dr. Syed Kumail Abbas Rizvi for his valuable suggestions and guidance throughout this time. </w:t>
      </w:r>
    </w:p>
    <w:p w:rsidR="000C733C" w:rsidRPr="00473828" w:rsidRDefault="000C733C" w:rsidP="000C733C">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I am thankful to our Dean of Business Administration Department, Dr. Sohail Zafar for his expert advice and ever-available support during the course of my thesis writing. </w:t>
      </w:r>
    </w:p>
    <w:p w:rsidR="000C733C" w:rsidRPr="00473828" w:rsidRDefault="000C733C" w:rsidP="000C733C">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I would also like to convey a very warm thanks to our Rector, DrShahidAmjad Chaudhry and Dean of Economics Department, DrAzam Chaudhry, for their efforts in providing an atmosphere that is conducive to vast knowledge and research. Their valuable comments and feedback also played a significant role during my thesis. </w:t>
      </w:r>
    </w:p>
    <w:p w:rsidR="000C733C" w:rsidRPr="00473828" w:rsidRDefault="000C733C" w:rsidP="000C733C">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Also, I’m very grateful to all my colleagues MsHumyraDawood, MsMehwishJawaad and Ms Tania Hasan for continual support and encouragement. I’m extremely thankful to my friends MsMadiha Rashid, MsNeelum Gul Chaudhry and MrAmmar Farooq for helping me and boosting me up at times when it almost seemed impossible to continue. </w:t>
      </w:r>
    </w:p>
    <w:p w:rsidR="000C733C" w:rsidRPr="00473828" w:rsidRDefault="000C733C" w:rsidP="000C733C">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Finally, I am very thankful to my beloved parents and siblings for always encouraging and supporting me throughout this journey. </w:t>
      </w:r>
    </w:p>
    <w:p w:rsidR="000C733C" w:rsidRDefault="000C733C" w:rsidP="00473828">
      <w:pPr>
        <w:spacing w:line="480" w:lineRule="auto"/>
        <w:jc w:val="both"/>
        <w:rPr>
          <w:rFonts w:ascii="Times New Roman" w:hAnsi="Times New Roman" w:cs="Times New Roman"/>
          <w:b/>
          <w:sz w:val="24"/>
        </w:rPr>
      </w:pPr>
    </w:p>
    <w:p w:rsidR="00A7111C" w:rsidRDefault="00A7111C" w:rsidP="00473828">
      <w:pPr>
        <w:spacing w:line="480" w:lineRule="auto"/>
        <w:jc w:val="both"/>
        <w:rPr>
          <w:rFonts w:ascii="Times New Roman" w:hAnsi="Times New Roman" w:cs="Times New Roman"/>
          <w:b/>
          <w:sz w:val="24"/>
        </w:rPr>
      </w:pPr>
    </w:p>
    <w:p w:rsidR="00473828" w:rsidRPr="004C602B" w:rsidRDefault="00473828" w:rsidP="00473828">
      <w:pPr>
        <w:spacing w:line="480" w:lineRule="auto"/>
        <w:jc w:val="both"/>
        <w:rPr>
          <w:rFonts w:ascii="Times New Roman" w:hAnsi="Times New Roman" w:cs="Times New Roman"/>
          <w:b/>
          <w:sz w:val="32"/>
        </w:rPr>
      </w:pPr>
      <w:r w:rsidRPr="0094365C">
        <w:rPr>
          <w:rFonts w:ascii="Times New Roman" w:hAnsi="Times New Roman" w:cs="Times New Roman"/>
          <w:b/>
          <w:sz w:val="28"/>
        </w:rPr>
        <w:lastRenderedPageBreak/>
        <w:t>Abstract</w:t>
      </w:r>
    </w:p>
    <w:p w:rsidR="00CA57D3"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With the advent of futures market during the 1970s, the interest of academicians and practitioners has been shifted towards the impact of futures trading on underlying spot market. One of the major issues, which is largely scrutinized, is whether the futures/options trading influences the market efficiency and market volatility. </w:t>
      </w:r>
    </w:p>
    <w:p w:rsidR="00CA57D3" w:rsidRPr="00CA57D3" w:rsidRDefault="00473828" w:rsidP="00CA57D3">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This aim of this research is to examine whether Single Stock Futures (SSFs) have an influence on risk and return dynamics of underlying stocks i</w:t>
      </w:r>
      <w:r w:rsidR="00CA57D3">
        <w:rPr>
          <w:rFonts w:ascii="Times New Roman" w:hAnsi="Times New Roman" w:cs="Times New Roman"/>
          <w:sz w:val="24"/>
          <w:szCs w:val="24"/>
        </w:rPr>
        <w:t>n Pakistan Stock Exchange (PSX)</w:t>
      </w:r>
      <w:r w:rsidRPr="00473828">
        <w:rPr>
          <w:rFonts w:ascii="Times New Roman" w:hAnsi="Times New Roman" w:cs="Times New Roman"/>
          <w:sz w:val="24"/>
          <w:szCs w:val="24"/>
        </w:rPr>
        <w:t xml:space="preserve">. </w:t>
      </w:r>
      <w:r w:rsidR="00CA57D3">
        <w:rPr>
          <w:rFonts w:ascii="Times New Roman" w:hAnsi="Times New Roman" w:cs="Times New Roman"/>
          <w:sz w:val="24"/>
          <w:szCs w:val="24"/>
        </w:rPr>
        <w:t xml:space="preserve">There are opposing theoretical arguments </w:t>
      </w:r>
      <w:r w:rsidR="00CA57D3" w:rsidRPr="00CA57D3">
        <w:rPr>
          <w:rFonts w:ascii="Times New Roman" w:hAnsi="Times New Roman" w:cs="Times New Roman"/>
          <w:sz w:val="24"/>
          <w:szCs w:val="24"/>
        </w:rPr>
        <w:t>regarding the impact of futures trading on market efficiency and volatility</w:t>
      </w:r>
      <w:r w:rsidR="00CA57D3">
        <w:rPr>
          <w:rFonts w:ascii="Times New Roman" w:hAnsi="Times New Roman" w:cs="Times New Roman"/>
          <w:sz w:val="24"/>
          <w:szCs w:val="24"/>
        </w:rPr>
        <w:t xml:space="preserve">. We have </w:t>
      </w:r>
      <w:r w:rsidR="00CA57D3" w:rsidRPr="00CA57D3">
        <w:rPr>
          <w:rFonts w:ascii="Times New Roman" w:hAnsi="Times New Roman" w:cs="Times New Roman"/>
          <w:sz w:val="24"/>
          <w:szCs w:val="24"/>
        </w:rPr>
        <w:t>found quite few studies that have been</w:t>
      </w:r>
      <w:r w:rsidR="00CA57D3">
        <w:rPr>
          <w:rFonts w:ascii="Times New Roman" w:hAnsi="Times New Roman" w:cs="Times New Roman"/>
          <w:sz w:val="24"/>
          <w:szCs w:val="24"/>
        </w:rPr>
        <w:t xml:space="preserve"> conducted on SSFs in Pakistan as SSFs is relatively a new market worldwide. </w:t>
      </w:r>
      <w:r w:rsidR="00CA57D3" w:rsidRPr="00CA57D3">
        <w:rPr>
          <w:rFonts w:ascii="Times New Roman" w:hAnsi="Times New Roman" w:cs="Times New Roman"/>
          <w:sz w:val="24"/>
          <w:szCs w:val="24"/>
        </w:rPr>
        <w:t xml:space="preserve">Also, these studies had contradictory results when compared to the similar studies done in other markets. </w:t>
      </w:r>
      <w:r w:rsidR="00CA57D3">
        <w:rPr>
          <w:rFonts w:ascii="Times New Roman" w:hAnsi="Times New Roman" w:cs="Times New Roman"/>
          <w:sz w:val="24"/>
          <w:szCs w:val="24"/>
        </w:rPr>
        <w:t>However, t</w:t>
      </w:r>
      <w:r w:rsidR="00CA57D3" w:rsidRPr="00CA57D3">
        <w:rPr>
          <w:rFonts w:ascii="Times New Roman" w:hAnsi="Times New Roman" w:cs="Times New Roman"/>
          <w:sz w:val="24"/>
          <w:szCs w:val="24"/>
        </w:rPr>
        <w:t xml:space="preserve">he current study have used more robust models in order to assess the impact of futures listing on market dynamics of underlying market.  This study aimed to use a new rather simple methodology to estimate the effect of futures trading on market efficiency and market volatility. </w:t>
      </w:r>
    </w:p>
    <w:p w:rsidR="00473828" w:rsidRDefault="00CA57D3"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This study aimed to use a new rather simple methodology to gauge the influence of futures trading on market efficiency and market volatility</w:t>
      </w:r>
      <w:r>
        <w:rPr>
          <w:rFonts w:ascii="Times New Roman" w:hAnsi="Times New Roman" w:cs="Times New Roman"/>
          <w:sz w:val="24"/>
          <w:szCs w:val="24"/>
        </w:rPr>
        <w:t xml:space="preserve">. </w:t>
      </w:r>
      <w:r w:rsidR="00BE2CA0" w:rsidRPr="00BE2CA0">
        <w:rPr>
          <w:rFonts w:ascii="Times New Roman" w:hAnsi="Times New Roman" w:cs="Times New Roman"/>
          <w:sz w:val="24"/>
          <w:szCs w:val="24"/>
        </w:rPr>
        <w:t>For this research, we have constructed two market value weighted portfolios for the stocks listed in KSE 100 Index based on whether they have futures upon them or not. The volatility of Excess Returns are estimated using Market Model as mean equation of both portfolios through Univariate Symmetric GARCH as well as Univariate Asymmetric GARCH models. The conditional variances was thus calculated through both Symmetric GARCH and Asymmetric GARCH models.</w:t>
      </w:r>
      <w:r w:rsidR="00BE2CA0">
        <w:rPr>
          <w:rFonts w:ascii="Times New Roman" w:hAnsi="Times New Roman" w:cs="Times New Roman"/>
          <w:sz w:val="24"/>
          <w:szCs w:val="24"/>
        </w:rPr>
        <w:t xml:space="preserve"> In addition, we have added two</w:t>
      </w:r>
      <w:r w:rsidR="00473828" w:rsidRPr="00473828">
        <w:rPr>
          <w:rFonts w:ascii="Times New Roman" w:hAnsi="Times New Roman" w:cs="Times New Roman"/>
          <w:sz w:val="24"/>
          <w:szCs w:val="24"/>
        </w:rPr>
        <w:t xml:space="preserve"> variables in our model to substitute most recognized factors like SMB or HML.</w:t>
      </w:r>
    </w:p>
    <w:p w:rsidR="000C733C" w:rsidRDefault="00E81D05" w:rsidP="00473828">
      <w:pPr>
        <w:spacing w:line="480" w:lineRule="auto"/>
        <w:jc w:val="both"/>
        <w:rPr>
          <w:rFonts w:ascii="Times New Roman" w:eastAsia="Calibri" w:hAnsi="Times New Roman" w:cs="Times New Roman"/>
          <w:sz w:val="24"/>
          <w:szCs w:val="24"/>
        </w:rPr>
      </w:pPr>
      <w:r w:rsidRPr="00473828">
        <w:rPr>
          <w:rFonts w:ascii="Times New Roman" w:hAnsi="Times New Roman" w:cs="Times New Roman"/>
          <w:sz w:val="24"/>
          <w:szCs w:val="24"/>
        </w:rPr>
        <w:lastRenderedPageBreak/>
        <w:t>The current study us</w:t>
      </w:r>
      <w:r>
        <w:rPr>
          <w:rFonts w:ascii="Times New Roman" w:hAnsi="Times New Roman" w:cs="Times New Roman"/>
          <w:sz w:val="24"/>
          <w:szCs w:val="24"/>
        </w:rPr>
        <w:t xml:space="preserve">es data from KSE-100 index; 90 </w:t>
      </w:r>
      <w:r w:rsidRPr="00473828">
        <w:rPr>
          <w:rFonts w:ascii="Times New Roman" w:hAnsi="Times New Roman" w:cs="Times New Roman"/>
          <w:sz w:val="24"/>
          <w:szCs w:val="24"/>
        </w:rPr>
        <w:t>stocks which are listed on KSE-100 and the futures, which are listed on Pakistan Stock Exchange (PSX).</w:t>
      </w:r>
      <w:r>
        <w:rPr>
          <w:rFonts w:ascii="Times New Roman" w:hAnsi="Times New Roman" w:cs="Times New Roman"/>
          <w:sz w:val="24"/>
          <w:szCs w:val="24"/>
        </w:rPr>
        <w:t xml:space="preserve"> The sample size consists of 46</w:t>
      </w:r>
      <w:r w:rsidRPr="00473828">
        <w:rPr>
          <w:rFonts w:ascii="Times New Roman" w:hAnsi="Times New Roman" w:cs="Times New Roman"/>
          <w:sz w:val="24"/>
          <w:szCs w:val="24"/>
        </w:rPr>
        <w:t xml:space="preserve"> stocks, which have futures available on them, and the remaining stocks that do not have futures available on them on KSE-100 index</w:t>
      </w:r>
      <w:r w:rsidR="00542D88">
        <w:rPr>
          <w:rFonts w:ascii="Times New Roman" w:hAnsi="Times New Roman" w:cs="Times New Roman"/>
          <w:sz w:val="24"/>
          <w:szCs w:val="24"/>
        </w:rPr>
        <w:t xml:space="preserve">. </w:t>
      </w:r>
    </w:p>
    <w:p w:rsidR="00A65713" w:rsidRPr="00473828" w:rsidRDefault="00A65713" w:rsidP="000C733C">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suggested that </w:t>
      </w:r>
      <w:r w:rsidR="000C733C">
        <w:rPr>
          <w:rFonts w:ascii="Times New Roman" w:hAnsi="Times New Roman" w:cs="Times New Roman"/>
          <w:sz w:val="24"/>
        </w:rPr>
        <w:t xml:space="preserve">there is </w:t>
      </w:r>
      <w:r w:rsidR="000C733C" w:rsidRPr="00AA0851">
        <w:rPr>
          <w:rFonts w:ascii="Times New Roman" w:hAnsi="Times New Roman" w:cs="Times New Roman"/>
          <w:sz w:val="24"/>
        </w:rPr>
        <w:t>a significant difference between the means of alpha of both portfolio</w:t>
      </w:r>
      <w:r w:rsidR="000C733C">
        <w:rPr>
          <w:rFonts w:ascii="Times New Roman" w:hAnsi="Times New Roman" w:cs="Times New Roman"/>
          <w:sz w:val="24"/>
        </w:rPr>
        <w:t>s</w:t>
      </w:r>
      <w:r w:rsidR="000C733C" w:rsidRPr="00AA0851">
        <w:rPr>
          <w:rFonts w:ascii="Times New Roman" w:hAnsi="Times New Roman" w:cs="Times New Roman"/>
          <w:sz w:val="24"/>
        </w:rPr>
        <w:t xml:space="preserve">; this depicts that futures listing do not bring efficiency to the market and </w:t>
      </w:r>
      <w:r w:rsidR="000C733C" w:rsidRPr="001805EC">
        <w:rPr>
          <w:rFonts w:ascii="Times New Roman" w:hAnsi="Times New Roman" w:cs="Times New Roman"/>
          <w:color w:val="000000" w:themeColor="text1"/>
          <w:sz w:val="24"/>
          <w:szCs w:val="24"/>
        </w:rPr>
        <w:t>futures listing does not play any role in destabilizing the stock market</w:t>
      </w:r>
      <w:r w:rsidR="000C733C">
        <w:rPr>
          <w:rFonts w:ascii="Times New Roman" w:hAnsi="Times New Roman" w:cs="Times New Roman"/>
          <w:color w:val="000000" w:themeColor="text1"/>
          <w:sz w:val="24"/>
          <w:szCs w:val="24"/>
        </w:rPr>
        <w:t xml:space="preserve">. </w:t>
      </w:r>
      <w:r w:rsidR="000C733C" w:rsidRPr="001805EC">
        <w:rPr>
          <w:rFonts w:ascii="Times New Roman" w:hAnsi="Times New Roman" w:cs="Times New Roman"/>
          <w:color w:val="000000" w:themeColor="text1"/>
          <w:sz w:val="24"/>
          <w:szCs w:val="24"/>
        </w:rPr>
        <w:t xml:space="preserve">The analysis </w:t>
      </w:r>
      <w:r w:rsidR="000C733C">
        <w:rPr>
          <w:rFonts w:ascii="Times New Roman" w:hAnsi="Times New Roman" w:cs="Times New Roman"/>
          <w:color w:val="000000" w:themeColor="text1"/>
          <w:sz w:val="24"/>
          <w:szCs w:val="24"/>
        </w:rPr>
        <w:t xml:space="preserve">also </w:t>
      </w:r>
      <w:r w:rsidR="000C733C" w:rsidRPr="001805EC">
        <w:rPr>
          <w:rFonts w:ascii="Times New Roman" w:hAnsi="Times New Roman" w:cs="Times New Roman"/>
          <w:color w:val="000000" w:themeColor="text1"/>
          <w:sz w:val="24"/>
          <w:szCs w:val="24"/>
        </w:rPr>
        <w:t>suggested that the futures listing do have an impact on the volatility of underlying stock returns in Pakistan Stock Exchange (PSX).</w:t>
      </w:r>
    </w:p>
    <w:p w:rsidR="00473828" w:rsidRPr="00473828" w:rsidRDefault="00473828" w:rsidP="00473828">
      <w:pPr>
        <w:spacing w:line="480" w:lineRule="auto"/>
        <w:jc w:val="both"/>
        <w:rPr>
          <w:rFonts w:ascii="Times New Roman" w:hAnsi="Times New Roman" w:cs="Times New Roman"/>
          <w:b/>
          <w:sz w:val="24"/>
        </w:rPr>
      </w:pPr>
    </w:p>
    <w:p w:rsidR="00473828" w:rsidRPr="00473828" w:rsidRDefault="00473828" w:rsidP="00473828">
      <w:pPr>
        <w:spacing w:line="480" w:lineRule="auto"/>
        <w:jc w:val="both"/>
        <w:rPr>
          <w:rFonts w:ascii="Times New Roman" w:hAnsi="Times New Roman" w:cs="Times New Roman"/>
          <w:b/>
          <w:sz w:val="24"/>
        </w:rPr>
      </w:pPr>
    </w:p>
    <w:p w:rsidR="00473828" w:rsidRPr="00473828" w:rsidRDefault="00473828" w:rsidP="00473828">
      <w:pPr>
        <w:spacing w:line="480" w:lineRule="auto"/>
        <w:jc w:val="both"/>
        <w:rPr>
          <w:rFonts w:ascii="Times New Roman" w:hAnsi="Times New Roman" w:cs="Times New Roman"/>
          <w:b/>
          <w:sz w:val="24"/>
        </w:rPr>
      </w:pPr>
    </w:p>
    <w:p w:rsidR="00473828" w:rsidRPr="00473828" w:rsidRDefault="00473828" w:rsidP="00473828">
      <w:pPr>
        <w:spacing w:line="480" w:lineRule="auto"/>
        <w:jc w:val="both"/>
        <w:rPr>
          <w:rFonts w:ascii="Times New Roman" w:hAnsi="Times New Roman" w:cs="Times New Roman"/>
          <w:b/>
          <w:sz w:val="24"/>
        </w:rPr>
      </w:pPr>
    </w:p>
    <w:p w:rsidR="00473828" w:rsidRPr="00473828" w:rsidRDefault="00473828" w:rsidP="00473828">
      <w:pPr>
        <w:spacing w:line="480" w:lineRule="auto"/>
        <w:jc w:val="both"/>
        <w:rPr>
          <w:rFonts w:ascii="Times New Roman" w:hAnsi="Times New Roman" w:cs="Times New Roman"/>
          <w:b/>
          <w:sz w:val="24"/>
        </w:rPr>
      </w:pPr>
    </w:p>
    <w:p w:rsidR="00473828" w:rsidRPr="00473828" w:rsidRDefault="00473828" w:rsidP="00473828">
      <w:pPr>
        <w:spacing w:line="480" w:lineRule="auto"/>
        <w:jc w:val="both"/>
        <w:rPr>
          <w:rFonts w:ascii="Times New Roman" w:hAnsi="Times New Roman" w:cs="Times New Roman"/>
          <w:b/>
          <w:sz w:val="24"/>
        </w:rPr>
      </w:pPr>
    </w:p>
    <w:p w:rsidR="00473828" w:rsidRPr="00473828" w:rsidRDefault="00473828" w:rsidP="00473828">
      <w:pPr>
        <w:spacing w:line="480" w:lineRule="auto"/>
        <w:jc w:val="both"/>
        <w:rPr>
          <w:rFonts w:ascii="Times New Roman" w:hAnsi="Times New Roman" w:cs="Times New Roman"/>
          <w:b/>
          <w:sz w:val="24"/>
        </w:rPr>
      </w:pPr>
    </w:p>
    <w:p w:rsidR="00473828" w:rsidRPr="00473828" w:rsidRDefault="00473828" w:rsidP="00473828">
      <w:pPr>
        <w:spacing w:line="480" w:lineRule="auto"/>
        <w:jc w:val="both"/>
        <w:rPr>
          <w:rFonts w:ascii="Times New Roman" w:hAnsi="Times New Roman" w:cs="Times New Roman"/>
          <w:b/>
          <w:sz w:val="24"/>
        </w:rPr>
      </w:pPr>
    </w:p>
    <w:p w:rsidR="00F36F67" w:rsidRPr="00473828" w:rsidRDefault="00F36F67" w:rsidP="00473828">
      <w:pPr>
        <w:spacing w:line="360" w:lineRule="auto"/>
        <w:jc w:val="both"/>
        <w:rPr>
          <w:rFonts w:ascii="Times New Roman" w:hAnsi="Times New Roman" w:cs="Times New Roman"/>
          <w:b/>
          <w:bCs/>
        </w:rPr>
      </w:pPr>
    </w:p>
    <w:p w:rsidR="00473828" w:rsidRPr="00473828" w:rsidRDefault="00473828" w:rsidP="00473828">
      <w:pPr>
        <w:spacing w:line="360" w:lineRule="auto"/>
        <w:jc w:val="both"/>
        <w:rPr>
          <w:rFonts w:ascii="Times New Roman" w:hAnsi="Times New Roman" w:cs="Times New Roman"/>
          <w:b/>
          <w:bCs/>
        </w:rPr>
      </w:pPr>
    </w:p>
    <w:p w:rsidR="00473828" w:rsidRPr="002E4014" w:rsidRDefault="00473828" w:rsidP="002E4014">
      <w:pPr>
        <w:pStyle w:val="Heading1"/>
        <w:spacing w:after="240"/>
        <w:rPr>
          <w:rFonts w:ascii="Times New Roman" w:hAnsi="Times New Roman" w:cs="Times New Roman"/>
          <w:b/>
          <w:color w:val="auto"/>
          <w:sz w:val="28"/>
          <w:szCs w:val="28"/>
        </w:rPr>
      </w:pPr>
      <w:bookmarkStart w:id="1" w:name="_Toc520219887"/>
      <w:r w:rsidRPr="002E4014">
        <w:rPr>
          <w:rFonts w:ascii="Times New Roman" w:hAnsi="Times New Roman" w:cs="Times New Roman"/>
          <w:b/>
          <w:color w:val="auto"/>
          <w:sz w:val="28"/>
          <w:szCs w:val="28"/>
        </w:rPr>
        <w:lastRenderedPageBreak/>
        <w:t>CHAPTER 1: Introduction</w:t>
      </w:r>
      <w:bookmarkEnd w:id="1"/>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Since 1987, recurring turmoil in the stock market has shifted the focus of research towards probable reasons of changing market dynamics specifically efficiency and volatility. Many researchers have ascribed these changes to the advent of futures market. Futures market is the one in which futures contracts are being traded. Such market provides a platform for activities like hedging and speculation. They serves as a medium where risks are dispensed between speculators and hedgers. Also, futures trading might take place on the basis of different future outlooks held by different market agents who postulate on the basis of these outlooks. Thus, futures price transmit information to all agents particularly those uninformed agents who base their supply decisions on futures price. However, the covenant to buy and sell asset/securities/commodities at a price agreed upon today for delivery at some future point in time is known as futures contract. So, investors in the market seek to minimize the uncertainty about future prices of stock by selling or buying futures contracts.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With the advent of futures market during the 1970s, the interest of academicians and practitioners has been shifted towards the impact of futures trading on underlying spot market. One of the major issues, which is largely scrutinized, is whether the futures/options trading influences the market efficiency and market volatility.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Firstly, the researchers have argued that futures trading has a significant impact on market efficiency. The efficient market is the one in which the market price of a stock is an unbiased estimate of the investment’s true value. According to Fama (1995), the efficient market is the market in which significant current information is freely available to all the rational participants and profit-maximizers and they compete with each other in order to forecast the future market values of an individual security. The Efficient Market Hypothesis (EMH) developed by Eugene </w:t>
      </w:r>
      <w:r w:rsidRPr="00473828">
        <w:rPr>
          <w:rFonts w:ascii="Times New Roman" w:hAnsi="Times New Roman" w:cs="Times New Roman"/>
          <w:sz w:val="24"/>
          <w:szCs w:val="24"/>
        </w:rPr>
        <w:lastRenderedPageBreak/>
        <w:t xml:space="preserve">Fama states that the price of assets fully incorporates and reflects all the available information in the market. Also, it is impossible to outperform the market invariably through market timing or expert stock selection, and the only tactic to earn higher returns is by chance or by buying riskier securities. There are three versions of EMH; </w:t>
      </w:r>
      <w:r w:rsidRPr="00473828">
        <w:rPr>
          <w:rFonts w:ascii="Times New Roman" w:hAnsi="Times New Roman" w:cs="Times New Roman"/>
          <w:i/>
          <w:sz w:val="24"/>
          <w:szCs w:val="24"/>
        </w:rPr>
        <w:t xml:space="preserve">weak-form efficiency, </w:t>
      </w:r>
      <w:r w:rsidRPr="00473828">
        <w:rPr>
          <w:rFonts w:ascii="Times New Roman" w:hAnsi="Times New Roman" w:cs="Times New Roman"/>
          <w:sz w:val="24"/>
          <w:szCs w:val="24"/>
        </w:rPr>
        <w:t>which claims that the price of securities reflects all the historical information</w:t>
      </w:r>
      <w:r w:rsidRPr="00473828">
        <w:rPr>
          <w:rFonts w:ascii="Times New Roman" w:hAnsi="Times New Roman" w:cs="Times New Roman"/>
          <w:i/>
          <w:sz w:val="24"/>
          <w:szCs w:val="24"/>
        </w:rPr>
        <w:t xml:space="preserve">, semi-strong efficiency, </w:t>
      </w:r>
      <w:r w:rsidRPr="00473828">
        <w:rPr>
          <w:rFonts w:ascii="Times New Roman" w:hAnsi="Times New Roman" w:cs="Times New Roman"/>
          <w:sz w:val="24"/>
          <w:szCs w:val="24"/>
        </w:rPr>
        <w:t xml:space="preserve">which asserts that the securities price evinces all the publicly available information, whereas, </w:t>
      </w:r>
      <w:r w:rsidRPr="00473828">
        <w:rPr>
          <w:rFonts w:ascii="Times New Roman" w:hAnsi="Times New Roman" w:cs="Times New Roman"/>
          <w:i/>
          <w:sz w:val="24"/>
          <w:szCs w:val="24"/>
        </w:rPr>
        <w:t xml:space="preserve">strong efficiency, </w:t>
      </w:r>
      <w:r w:rsidRPr="00473828">
        <w:rPr>
          <w:rFonts w:ascii="Times New Roman" w:hAnsi="Times New Roman" w:cs="Times New Roman"/>
          <w:sz w:val="24"/>
          <w:szCs w:val="24"/>
        </w:rPr>
        <w:t>whichindicates that the prices incorporate all existing information (public and private). It is important to have market that is more efficient because all the investments are fairly priced in an efficient market and the stock prices depict the true intrinsic value of the stocks. Thus, the scarce resources and savings will be proficiently assigned to fruitful investment and consequently the investment will be of constructive nature for both investors and economy (Moustafa, 2004).</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Secondly, the researchers have also evaluated the impact of futures trading on the volatility of underlying spot market.  Volatility means to what extent the stock prices fluctuates over a given period of time. If the price of a security has lower fluctuations, the security is said to have low volatility whereas, a high volatility indicates greater fluctuations in the price of the security. The value of beta is an indication of stock volatility. Higher beta indicates higher volatility and thus, riskier stock, whereas, lesser the beta, lesser will be the volatility of the stock and hence, it will be safe and less risky investment. The low volatility is beneficial for stock market and for risk-averse investors.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Intuitively, many stock market participants think that riskier and assets with high volatility will outperform less risky assets over time. However, several studies in U.S and other markets revealed that riskier (high volatility) stocks have underperformed less risky stocks. This “low volatility anomaly” has been established by various studies like Jagannathan and Ma (2003), </w:t>
      </w:r>
      <w:r w:rsidRPr="00473828">
        <w:rPr>
          <w:rFonts w:ascii="Times New Roman" w:hAnsi="Times New Roman" w:cs="Times New Roman"/>
          <w:sz w:val="24"/>
          <w:szCs w:val="24"/>
        </w:rPr>
        <w:lastRenderedPageBreak/>
        <w:t xml:space="preserve">Clarke De Silva and Thorley (2006) and Baker and Haugen (2012). The results revealed that high return is not always associated with high risk. So, these studies made evident the significance of low stock volatility.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With the passage of time, two contrasting views have been developed for the association between the futures market and the market efficiency and volatility of the underlying spot market. First one is that some researchers have asserted that the beginning of futures trading decreases the stock price volatility. They are of view that certain features of futures, for instance, low transaction cost and high financial leverage, attract investors and encourage them to trade on differential information and therefore, enhance the flow of information in the market. Many authors, for instance, Galloway and Miller (1997) and Holmes and Tomsett (2004) suggested that investors favor derivatives trading as compared to spot trading because of the low transaction cost, ability to hedge risk and specified dates of delivery. Also, derivatives tend to attract more and informed market traders who are likely to inflate the means by which information is locked up into cash prices (Antoniou &amp; Holmes, 1995).  Faff and Hiller (2005) have suggested the similar results that the investors tend to migrate towards the market of derivatives, which led to lower noise in the stock market and thus lower volatility in the underlying market. Also, there was more efficient information propagation after the start of derivative market.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The other opposing view depicts that futures trading has led to higher volatility level in the underlying market. It is because, with the advent of futures market, unnecessary and probably unreasonable activities have started that leads to an increased stock market volatility (Bae, Kwon and Park, 2004). The authors asserted that with the beginning of futures trading, the market efficiency and spot price volatility of underlying stocks increases. Therefore, the policy makers </w:t>
      </w:r>
      <w:r w:rsidRPr="00473828">
        <w:rPr>
          <w:rFonts w:ascii="Times New Roman" w:hAnsi="Times New Roman" w:cs="Times New Roman"/>
          <w:sz w:val="24"/>
          <w:szCs w:val="24"/>
        </w:rPr>
        <w:lastRenderedPageBreak/>
        <w:t xml:space="preserve">should develop such policy that facilitates in keeping the market stable alongside with increased market efficiency.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The futures trading increase the stock market volatility due to the presence of uninformed/irrational investors along with informed investors in the market. And, sometimes, the destabilizing effect brought by uninformed/irrational traders through futures trading in the market offsets the constructive liquidity effect. In order to cater this area Robbani and Bhoyan (2004) tested the influence of futures and options trading on volatility of Dow Jones Industrials Average (DJIA) index. It was evident from the results that in the post-futures period, the volatility of underlying stock on DJIA increased. Trading volume has increased dramatically in index futures and index options after their introduction in 1982 and 1983 respectively. In addition, the conjectural futures and options trading has often been accused for destabilization of underlying cash markets, resulting in higher volatility</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However, the current study evaluates Single Stock Futures (SSFs). Single stock futures (SSFs) are those derivative instruments that provide investors with the ability to buy or sell an underlying stock at a predetermined price. Some of the researchers claim that SSFs facilitate investors in enhancing the performance of their portfolios and protecting them against adverse price movements. In this study, we aim to examine the impact of </w:t>
      </w:r>
      <w:r w:rsidR="008E4B2F">
        <w:rPr>
          <w:rFonts w:ascii="Times New Roman" w:hAnsi="Times New Roman" w:cs="Times New Roman"/>
          <w:sz w:val="24"/>
          <w:szCs w:val="24"/>
        </w:rPr>
        <w:t xml:space="preserve">futures listings </w:t>
      </w:r>
      <w:r w:rsidRPr="00473828">
        <w:rPr>
          <w:rFonts w:ascii="Times New Roman" w:hAnsi="Times New Roman" w:cs="Times New Roman"/>
          <w:sz w:val="24"/>
          <w:szCs w:val="24"/>
        </w:rPr>
        <w:t xml:space="preserve">on the market dynamics i.e. market efficiency and volatility in an emerging market. Due to certain features like low transaction cost and high financial leverage, it is expected that futures can be helpful in bringing more efficiency in the market and reduced volatility. </w:t>
      </w:r>
    </w:p>
    <w:p w:rsidR="00473828" w:rsidRDefault="00034EC2" w:rsidP="00473828">
      <w:pPr>
        <w:spacing w:line="480" w:lineRule="auto"/>
        <w:jc w:val="both"/>
        <w:rPr>
          <w:rFonts w:ascii="Times New Roman" w:hAnsi="Times New Roman" w:cs="Times New Roman"/>
          <w:sz w:val="24"/>
          <w:szCs w:val="24"/>
        </w:rPr>
      </w:pPr>
      <w:r w:rsidRPr="00034EC2">
        <w:rPr>
          <w:rFonts w:ascii="Times New Roman" w:hAnsi="Times New Roman" w:cs="Times New Roman"/>
          <w:sz w:val="24"/>
          <w:szCs w:val="24"/>
        </w:rPr>
        <w:t>Similar to other emerging markets, Pakistan has also faced many hurdles in the capital markets development. The Pakistan Stock Exchange (PSX) was established in 1947. It is the country’s largest and oldest stock exchange</w:t>
      </w:r>
      <w:r>
        <w:rPr>
          <w:rFonts w:ascii="Times New Roman" w:hAnsi="Times New Roman" w:cs="Times New Roman"/>
          <w:sz w:val="24"/>
          <w:szCs w:val="24"/>
        </w:rPr>
        <w:t xml:space="preserve">. It offers a variety of products such as futures contracts (cash </w:t>
      </w:r>
      <w:r>
        <w:rPr>
          <w:rFonts w:ascii="Times New Roman" w:hAnsi="Times New Roman" w:cs="Times New Roman"/>
          <w:sz w:val="24"/>
          <w:szCs w:val="24"/>
        </w:rPr>
        <w:lastRenderedPageBreak/>
        <w:t xml:space="preserve">settled and deliverables) and </w:t>
      </w:r>
      <w:r w:rsidR="008F0F05">
        <w:rPr>
          <w:rFonts w:ascii="Times New Roman" w:hAnsi="Times New Roman" w:cs="Times New Roman"/>
          <w:sz w:val="24"/>
          <w:szCs w:val="24"/>
        </w:rPr>
        <w:t>Stock Index Futures Contracts (SIFCs)</w:t>
      </w:r>
      <w:r>
        <w:rPr>
          <w:rFonts w:ascii="Times New Roman" w:hAnsi="Times New Roman" w:cs="Times New Roman"/>
          <w:sz w:val="24"/>
          <w:szCs w:val="24"/>
        </w:rPr>
        <w:t xml:space="preserve">. </w:t>
      </w:r>
      <w:r w:rsidR="008F0F05">
        <w:rPr>
          <w:rFonts w:ascii="Times New Roman" w:hAnsi="Times New Roman" w:cs="Times New Roman"/>
          <w:sz w:val="24"/>
          <w:szCs w:val="24"/>
        </w:rPr>
        <w:t xml:space="preserve">However, </w:t>
      </w:r>
      <w:r w:rsidR="00473828" w:rsidRPr="00473828">
        <w:rPr>
          <w:rFonts w:ascii="Times New Roman" w:hAnsi="Times New Roman" w:cs="Times New Roman"/>
          <w:sz w:val="24"/>
          <w:szCs w:val="24"/>
        </w:rPr>
        <w:t xml:space="preserve">Single Stock Futures </w:t>
      </w:r>
      <w:r w:rsidR="008F0F05">
        <w:rPr>
          <w:rFonts w:ascii="Times New Roman" w:hAnsi="Times New Roman" w:cs="Times New Roman"/>
          <w:sz w:val="24"/>
          <w:szCs w:val="24"/>
        </w:rPr>
        <w:t xml:space="preserve">(SSFs) </w:t>
      </w:r>
      <w:r w:rsidR="00473828" w:rsidRPr="00473828">
        <w:rPr>
          <w:rFonts w:ascii="Times New Roman" w:hAnsi="Times New Roman" w:cs="Times New Roman"/>
          <w:sz w:val="24"/>
          <w:szCs w:val="24"/>
        </w:rPr>
        <w:t>were introduced in July 2001 in Pakistan. Initially, the trading in SSFs constituted a very small fraction of overall market but the trading in futures increased in late 2004. After stock market crisis of 2008, futures trading was banned for few months and it resumed in July, 2009 for 18 stocks with improved features and strict risk management mechanisms. As the Securities and Exchange Commission of Pakistan (SECP) assumed that previous SSFs played a major role in destabilization of the market. However, currentl</w:t>
      </w:r>
      <w:r w:rsidR="0061482A">
        <w:rPr>
          <w:rFonts w:ascii="Times New Roman" w:hAnsi="Times New Roman" w:cs="Times New Roman"/>
          <w:sz w:val="24"/>
          <w:szCs w:val="24"/>
        </w:rPr>
        <w:t xml:space="preserve">y, futures are traded against 49 </w:t>
      </w:r>
      <w:r w:rsidR="00473828" w:rsidRPr="00473828">
        <w:rPr>
          <w:rFonts w:ascii="Times New Roman" w:hAnsi="Times New Roman" w:cs="Times New Roman"/>
          <w:sz w:val="24"/>
          <w:szCs w:val="24"/>
        </w:rPr>
        <w:t xml:space="preserve">stocks at PSX (See Appendix). </w:t>
      </w:r>
    </w:p>
    <w:p w:rsidR="008F0F05" w:rsidRDefault="008F0F05" w:rsidP="0047382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Single stock futures were introduced to facilitate the investors in different ways. The chief characteristic of SSFs is that they allow the investors to protect their positions against price fluctuations without physical delivery of the goods. It also helps in forecasting prices.  </w:t>
      </w:r>
      <w:r w:rsidR="007D41EE">
        <w:rPr>
          <w:rFonts w:ascii="Times New Roman" w:hAnsi="Times New Roman" w:cs="Times New Roman"/>
          <w:sz w:val="24"/>
          <w:szCs w:val="24"/>
        </w:rPr>
        <w:t>Also, futures trading facilitates c</w:t>
      </w:r>
      <w:r w:rsidRPr="008F0F05">
        <w:rPr>
          <w:rFonts w:ascii="Times New Roman" w:hAnsi="Times New Roman" w:cs="Times New Roman"/>
          <w:sz w:val="24"/>
          <w:szCs w:val="24"/>
        </w:rPr>
        <w:t xml:space="preserve">ompetitive pricing </w:t>
      </w:r>
      <w:r w:rsidR="007D41EE">
        <w:rPr>
          <w:rFonts w:ascii="Times New Roman" w:hAnsi="Times New Roman" w:cs="Times New Roman"/>
          <w:sz w:val="24"/>
          <w:szCs w:val="24"/>
        </w:rPr>
        <w:t>and thus there remains a balance in the prices of the future traded commodities</w:t>
      </w:r>
      <w:r w:rsidRPr="008F0F05">
        <w:rPr>
          <w:rFonts w:ascii="Times New Roman" w:hAnsi="Times New Roman" w:cs="Times New Roman"/>
          <w:sz w:val="24"/>
          <w:szCs w:val="24"/>
        </w:rPr>
        <w:t>. The huge number of transactions that take place on a daily basis in the futures market brings price stability.</w:t>
      </w:r>
    </w:p>
    <w:p w:rsidR="00E64114" w:rsidRPr="00473828" w:rsidRDefault="00985E6D" w:rsidP="00C12D36">
      <w:pPr>
        <w:spacing w:line="480" w:lineRule="auto"/>
        <w:jc w:val="both"/>
        <w:rPr>
          <w:rFonts w:ascii="Times New Roman" w:hAnsi="Times New Roman" w:cs="Times New Roman"/>
          <w:sz w:val="24"/>
          <w:szCs w:val="24"/>
        </w:rPr>
      </w:pPr>
      <w:r w:rsidRPr="008A675B">
        <w:rPr>
          <w:rFonts w:ascii="Times New Roman" w:hAnsi="Times New Roman" w:cs="Times New Roman"/>
          <w:sz w:val="24"/>
          <w:szCs w:val="24"/>
        </w:rPr>
        <w:t xml:space="preserve">We have tested two hypothesis to assess the influence of futures listing on risk and return dynamics of underlying stocks in Pakistan Stock Exchange (PSX). </w:t>
      </w:r>
      <w:r w:rsidR="00C12D36" w:rsidRPr="008A675B">
        <w:rPr>
          <w:rFonts w:ascii="Times New Roman" w:hAnsi="Times New Roman" w:cs="Times New Roman"/>
          <w:sz w:val="24"/>
          <w:szCs w:val="24"/>
        </w:rPr>
        <w:t xml:space="preserve">Our first hypothesis was; futures listing does not increases/decreases market efficiency. Second hypothesis was whether futures listing alter the volatility dynamics of underlying stock returns or not. </w:t>
      </w:r>
      <w:r w:rsidRPr="008A675B">
        <w:rPr>
          <w:rFonts w:ascii="Times New Roman" w:hAnsi="Times New Roman" w:cs="Times New Roman"/>
          <w:sz w:val="24"/>
          <w:szCs w:val="24"/>
        </w:rPr>
        <w:t>In order to test the hypothesis, we have used univariate symmetric Generalized Autoregressive Conditional Heteroscedasticity (GARCH) model as well as asymmetric GARCH model in order to evaluate the volatility.</w:t>
      </w:r>
    </w:p>
    <w:p w:rsidR="00473828" w:rsidRPr="002E4014" w:rsidRDefault="002E4014" w:rsidP="002E4014">
      <w:pPr>
        <w:pStyle w:val="Heading2"/>
        <w:spacing w:after="240"/>
        <w:jc w:val="both"/>
        <w:rPr>
          <w:rFonts w:ascii="Times New Roman" w:hAnsi="Times New Roman" w:cs="Times New Roman"/>
          <w:b/>
          <w:color w:val="auto"/>
          <w:sz w:val="24"/>
          <w:szCs w:val="24"/>
        </w:rPr>
      </w:pPr>
      <w:bookmarkStart w:id="2" w:name="_Toc520219888"/>
      <w:r w:rsidRPr="002E4014">
        <w:rPr>
          <w:rFonts w:ascii="Times New Roman" w:hAnsi="Times New Roman" w:cs="Times New Roman"/>
          <w:b/>
          <w:color w:val="auto"/>
          <w:sz w:val="24"/>
          <w:szCs w:val="24"/>
        </w:rPr>
        <w:lastRenderedPageBreak/>
        <w:t xml:space="preserve">1.1 </w:t>
      </w:r>
      <w:r w:rsidR="00473828" w:rsidRPr="002E4014">
        <w:rPr>
          <w:rFonts w:ascii="Times New Roman" w:hAnsi="Times New Roman" w:cs="Times New Roman"/>
          <w:b/>
          <w:color w:val="auto"/>
          <w:sz w:val="24"/>
          <w:szCs w:val="24"/>
        </w:rPr>
        <w:t>Research Objectives</w:t>
      </w:r>
      <w:bookmarkEnd w:id="2"/>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This aim of this research is to examine whether Single Stock Futures (SSFs) have an influence on risk and return dynamics of underlying stocks in Pakistan Stock Exchange (PSX). The main purpose of this study is to investigate whether SSFs serve as a source for change in market dynamics like market efficiency and volatility in PSX. Previous studies on this area of research have tested the impact of futures trading on underlying spot market in pre and post-futures period. Also, the earlier studies conducted on PSX provided quite contradictory results to studies conducted in other markets. For instance, Bae, Kwon and Park (2004) investigated two st</w:t>
      </w:r>
      <w:r w:rsidR="00610F2C">
        <w:rPr>
          <w:rFonts w:ascii="Times New Roman" w:hAnsi="Times New Roman" w:cs="Times New Roman"/>
          <w:sz w:val="24"/>
          <w:szCs w:val="24"/>
        </w:rPr>
        <w:t xml:space="preserve">ock portfolios; portfolio of stocks with futures available on them </w:t>
      </w:r>
      <w:r w:rsidRPr="00473828">
        <w:rPr>
          <w:rFonts w:ascii="Times New Roman" w:hAnsi="Times New Roman" w:cs="Times New Roman"/>
          <w:sz w:val="24"/>
          <w:szCs w:val="24"/>
        </w:rPr>
        <w:t xml:space="preserve">and the other comprising of the </w:t>
      </w:r>
      <w:r w:rsidR="00EF33AF" w:rsidRPr="00473828">
        <w:rPr>
          <w:rFonts w:ascii="Times New Roman" w:hAnsi="Times New Roman" w:cs="Times New Roman"/>
          <w:sz w:val="24"/>
          <w:szCs w:val="24"/>
        </w:rPr>
        <w:t>stocks</w:t>
      </w:r>
      <w:r w:rsidR="00EF33AF">
        <w:rPr>
          <w:rFonts w:ascii="Times New Roman" w:hAnsi="Times New Roman" w:cs="Times New Roman"/>
          <w:sz w:val="24"/>
          <w:szCs w:val="24"/>
        </w:rPr>
        <w:t>, which</w:t>
      </w:r>
      <w:r w:rsidR="00D03B2B">
        <w:rPr>
          <w:rFonts w:ascii="Times New Roman" w:hAnsi="Times New Roman" w:cs="Times New Roman"/>
          <w:sz w:val="24"/>
          <w:szCs w:val="24"/>
        </w:rPr>
        <w:t xml:space="preserve"> do not have futures traded against them</w:t>
      </w:r>
      <w:r w:rsidRPr="00473828">
        <w:rPr>
          <w:rFonts w:ascii="Times New Roman" w:hAnsi="Times New Roman" w:cs="Times New Roman"/>
          <w:sz w:val="24"/>
          <w:szCs w:val="24"/>
        </w:rPr>
        <w:t>. The authors concluded that the Korea Composite</w:t>
      </w:r>
      <w:r w:rsidR="00BF627A">
        <w:rPr>
          <w:rFonts w:ascii="Times New Roman" w:hAnsi="Times New Roman" w:cs="Times New Roman"/>
          <w:sz w:val="24"/>
          <w:szCs w:val="24"/>
        </w:rPr>
        <w:t xml:space="preserve"> Stock Price Index (KOSPI) 200</w:t>
      </w:r>
      <w:r w:rsidRPr="00473828">
        <w:rPr>
          <w:rFonts w:ascii="Times New Roman" w:hAnsi="Times New Roman" w:cs="Times New Roman"/>
          <w:sz w:val="24"/>
          <w:szCs w:val="24"/>
        </w:rPr>
        <w:t xml:space="preserve">, had greater trading efficiency than non-KOSPI 200 stocks. Also, the non-KOSPI 200 stocks experienced more spot price volatility than KOSPI 200 stocks. This finding, however, suggested volatility spillover to stocks which do not have futures available on them. Overall, this study suggested that futures introduction led to higher market efficiency as well as higher spot price volatility.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However, the most recent study conducted in Pakistani market by Malik and Shah (2017) delivered that </w:t>
      </w:r>
      <w:r w:rsidR="00D0127E">
        <w:rPr>
          <w:rFonts w:ascii="Times New Roman" w:hAnsi="Times New Roman" w:cs="Times New Roman"/>
          <w:sz w:val="24"/>
          <w:szCs w:val="24"/>
        </w:rPr>
        <w:t xml:space="preserve">in the post-futures period, </w:t>
      </w:r>
      <w:r w:rsidR="00A56362">
        <w:rPr>
          <w:rFonts w:ascii="Times New Roman" w:hAnsi="Times New Roman" w:cs="Times New Roman"/>
          <w:sz w:val="24"/>
          <w:szCs w:val="24"/>
        </w:rPr>
        <w:t xml:space="preserve">no changes were found </w:t>
      </w:r>
      <w:r w:rsidRPr="00473828">
        <w:rPr>
          <w:rFonts w:ascii="Times New Roman" w:hAnsi="Times New Roman" w:cs="Times New Roman"/>
          <w:sz w:val="24"/>
          <w:szCs w:val="24"/>
        </w:rPr>
        <w:t>in volatility</w:t>
      </w:r>
      <w:r w:rsidR="00A56362">
        <w:rPr>
          <w:rFonts w:ascii="Times New Roman" w:hAnsi="Times New Roman" w:cs="Times New Roman"/>
          <w:sz w:val="24"/>
          <w:szCs w:val="24"/>
        </w:rPr>
        <w:t xml:space="preserve"> dynamics</w:t>
      </w:r>
      <w:r w:rsidR="00D0127E">
        <w:rPr>
          <w:rFonts w:ascii="Times New Roman" w:hAnsi="Times New Roman" w:cs="Times New Roman"/>
          <w:sz w:val="24"/>
          <w:szCs w:val="24"/>
        </w:rPr>
        <w:t xml:space="preserve"> and market efficiency. </w:t>
      </w:r>
      <w:r w:rsidRPr="00473828">
        <w:rPr>
          <w:rFonts w:ascii="Times New Roman" w:hAnsi="Times New Roman" w:cs="Times New Roman"/>
          <w:sz w:val="24"/>
          <w:szCs w:val="24"/>
        </w:rPr>
        <w:t xml:space="preserve">These results suggested that there was no impact of </w:t>
      </w:r>
      <w:r w:rsidR="00D0127E">
        <w:rPr>
          <w:rFonts w:ascii="Times New Roman" w:hAnsi="Times New Roman" w:cs="Times New Roman"/>
          <w:sz w:val="24"/>
          <w:szCs w:val="24"/>
        </w:rPr>
        <w:t xml:space="preserve">futures listing </w:t>
      </w:r>
      <w:r w:rsidRPr="00473828">
        <w:rPr>
          <w:rFonts w:ascii="Times New Roman" w:hAnsi="Times New Roman" w:cs="Times New Roman"/>
          <w:sz w:val="24"/>
          <w:szCs w:val="24"/>
        </w:rPr>
        <w:t xml:space="preserve">on the market dynamics of the underlying spot market and </w:t>
      </w:r>
      <w:r w:rsidR="00A0694F">
        <w:rPr>
          <w:rFonts w:ascii="Times New Roman" w:hAnsi="Times New Roman" w:cs="Times New Roman"/>
          <w:sz w:val="24"/>
          <w:szCs w:val="24"/>
        </w:rPr>
        <w:t xml:space="preserve">futures </w:t>
      </w:r>
      <w:r w:rsidRPr="00473828">
        <w:rPr>
          <w:rFonts w:ascii="Times New Roman" w:hAnsi="Times New Roman" w:cs="Times New Roman"/>
          <w:sz w:val="24"/>
          <w:szCs w:val="24"/>
        </w:rPr>
        <w:t xml:space="preserve">did not play any </w:t>
      </w:r>
      <w:r w:rsidR="00A0694F" w:rsidRPr="00473828">
        <w:rPr>
          <w:rFonts w:ascii="Times New Roman" w:hAnsi="Times New Roman" w:cs="Times New Roman"/>
          <w:sz w:val="24"/>
          <w:szCs w:val="24"/>
        </w:rPr>
        <w:t>part</w:t>
      </w:r>
      <w:r w:rsidRPr="00473828">
        <w:rPr>
          <w:rFonts w:ascii="Times New Roman" w:hAnsi="Times New Roman" w:cs="Times New Roman"/>
          <w:sz w:val="24"/>
          <w:szCs w:val="24"/>
        </w:rPr>
        <w:t xml:space="preserve"> in </w:t>
      </w:r>
      <w:r w:rsidR="00A0694F" w:rsidRPr="00473828">
        <w:rPr>
          <w:rFonts w:ascii="Times New Roman" w:hAnsi="Times New Roman" w:cs="Times New Roman"/>
          <w:sz w:val="24"/>
          <w:szCs w:val="24"/>
        </w:rPr>
        <w:t>undermining</w:t>
      </w:r>
      <w:r w:rsidRPr="00473828">
        <w:rPr>
          <w:rFonts w:ascii="Times New Roman" w:hAnsi="Times New Roman" w:cs="Times New Roman"/>
          <w:sz w:val="24"/>
          <w:szCs w:val="24"/>
        </w:rPr>
        <w:t xml:space="preserve"> the underlying market. This study has certain limitations as the authors used obsolete models and the data was quite insufficient as they used only 23 SSFs. </w:t>
      </w:r>
    </w:p>
    <w:p w:rsidR="00473828" w:rsidRPr="00473828" w:rsidRDefault="00473828" w:rsidP="00473828">
      <w:pPr>
        <w:spacing w:line="480" w:lineRule="auto"/>
        <w:jc w:val="both"/>
        <w:rPr>
          <w:rFonts w:ascii="Times New Roman" w:hAnsi="Times New Roman" w:cs="Times New Roman"/>
          <w:sz w:val="24"/>
          <w:szCs w:val="24"/>
        </w:rPr>
      </w:pPr>
      <w:r w:rsidRPr="00D62170">
        <w:rPr>
          <w:rFonts w:ascii="Times New Roman" w:hAnsi="Times New Roman" w:cs="Times New Roman"/>
          <w:sz w:val="24"/>
          <w:szCs w:val="24"/>
        </w:rPr>
        <w:t xml:space="preserve">The current study have used more robust models in order to assess the impact of </w:t>
      </w:r>
      <w:r w:rsidR="00A0694F" w:rsidRPr="00D62170">
        <w:rPr>
          <w:rFonts w:ascii="Times New Roman" w:hAnsi="Times New Roman" w:cs="Times New Roman"/>
          <w:sz w:val="24"/>
          <w:szCs w:val="24"/>
        </w:rPr>
        <w:t xml:space="preserve">futures listing </w:t>
      </w:r>
      <w:r w:rsidRPr="00D62170">
        <w:rPr>
          <w:rFonts w:ascii="Times New Roman" w:hAnsi="Times New Roman" w:cs="Times New Roman"/>
          <w:sz w:val="24"/>
          <w:szCs w:val="24"/>
        </w:rPr>
        <w:t xml:space="preserve">on market dynamics of underlying market.  In the literature, we found quite few studies that have </w:t>
      </w:r>
      <w:r w:rsidRPr="00D62170">
        <w:rPr>
          <w:rFonts w:ascii="Times New Roman" w:hAnsi="Times New Roman" w:cs="Times New Roman"/>
          <w:sz w:val="24"/>
          <w:szCs w:val="24"/>
        </w:rPr>
        <w:lastRenderedPageBreak/>
        <w:t xml:space="preserve">been conducted on SSFs in Pakistan. Also, these studies had contradictory results when compared to the similar studies done in other markets. This study aimed to use a new rather simple methodology to </w:t>
      </w:r>
      <w:r w:rsidR="00A0694F" w:rsidRPr="00D62170">
        <w:rPr>
          <w:rFonts w:ascii="Times New Roman" w:hAnsi="Times New Roman" w:cs="Times New Roman"/>
          <w:sz w:val="24"/>
          <w:szCs w:val="24"/>
        </w:rPr>
        <w:t>estimate</w:t>
      </w:r>
      <w:r w:rsidRPr="00D62170">
        <w:rPr>
          <w:rFonts w:ascii="Times New Roman" w:hAnsi="Times New Roman" w:cs="Times New Roman"/>
          <w:sz w:val="24"/>
          <w:szCs w:val="24"/>
        </w:rPr>
        <w:t xml:space="preserve"> the </w:t>
      </w:r>
      <w:r w:rsidR="00A0694F" w:rsidRPr="00D62170">
        <w:rPr>
          <w:rFonts w:ascii="Times New Roman" w:hAnsi="Times New Roman" w:cs="Times New Roman"/>
          <w:sz w:val="24"/>
          <w:szCs w:val="24"/>
        </w:rPr>
        <w:t>effect</w:t>
      </w:r>
      <w:r w:rsidRPr="00D62170">
        <w:rPr>
          <w:rFonts w:ascii="Times New Roman" w:hAnsi="Times New Roman" w:cs="Times New Roman"/>
          <w:sz w:val="24"/>
          <w:szCs w:val="24"/>
        </w:rPr>
        <w:t xml:space="preserve"> of futures trading on market efficiency and market volatility. We have added few variables in our model to substitute most recognized factors like SMB or HML.</w:t>
      </w:r>
    </w:p>
    <w:p w:rsidR="00C8539D" w:rsidRPr="00C8539D" w:rsidRDefault="00473828" w:rsidP="00237143">
      <w:pPr>
        <w:pStyle w:val="Heading3"/>
        <w:spacing w:after="240" w:line="480" w:lineRule="auto"/>
        <w:jc w:val="both"/>
        <w:rPr>
          <w:rFonts w:ascii="Times New Roman" w:hAnsi="Times New Roman" w:cs="Times New Roman"/>
          <w:b/>
          <w:color w:val="auto"/>
        </w:rPr>
      </w:pPr>
      <w:bookmarkStart w:id="3" w:name="_Toc520219889"/>
      <w:r w:rsidRPr="00C8539D">
        <w:rPr>
          <w:rFonts w:ascii="Times New Roman" w:hAnsi="Times New Roman" w:cs="Times New Roman"/>
          <w:b/>
          <w:color w:val="auto"/>
        </w:rPr>
        <w:t>1.2 Research Questions</w:t>
      </w:r>
      <w:bookmarkEnd w:id="3"/>
    </w:p>
    <w:p w:rsidR="00473828" w:rsidRPr="00473828" w:rsidRDefault="00473828" w:rsidP="00C8539D">
      <w:pPr>
        <w:spacing w:after="0" w:line="480" w:lineRule="auto"/>
        <w:jc w:val="both"/>
        <w:rPr>
          <w:rFonts w:ascii="Times New Roman" w:hAnsi="Times New Roman" w:cs="Times New Roman"/>
          <w:sz w:val="24"/>
          <w:szCs w:val="24"/>
        </w:rPr>
      </w:pPr>
      <w:r w:rsidRPr="00473828">
        <w:rPr>
          <w:rFonts w:ascii="Times New Roman" w:hAnsi="Times New Roman" w:cs="Times New Roman"/>
          <w:sz w:val="24"/>
          <w:szCs w:val="24"/>
        </w:rPr>
        <w:t>This study aims to answer two questions:</w:t>
      </w:r>
    </w:p>
    <w:p w:rsidR="00473828" w:rsidRPr="00473828" w:rsidRDefault="00473828" w:rsidP="00473828">
      <w:pPr>
        <w:numPr>
          <w:ilvl w:val="0"/>
          <w:numId w:val="8"/>
        </w:numPr>
        <w:spacing w:line="480" w:lineRule="auto"/>
        <w:contextualSpacing/>
        <w:jc w:val="both"/>
        <w:rPr>
          <w:rFonts w:ascii="Times New Roman" w:hAnsi="Times New Roman" w:cs="Times New Roman"/>
          <w:sz w:val="24"/>
          <w:szCs w:val="24"/>
        </w:rPr>
      </w:pPr>
      <w:r w:rsidRPr="00473828">
        <w:rPr>
          <w:rFonts w:ascii="Times New Roman" w:hAnsi="Times New Roman" w:cs="Times New Roman"/>
          <w:sz w:val="24"/>
          <w:szCs w:val="24"/>
        </w:rPr>
        <w:t>Does the existence of Single Stock Futures (SSFs) change the price discovery mechanism and efficiency of underlying stocks in Pakistan Stock Exchange (PSX)?</w:t>
      </w:r>
    </w:p>
    <w:p w:rsidR="00473828" w:rsidRDefault="00473828" w:rsidP="00473828">
      <w:pPr>
        <w:numPr>
          <w:ilvl w:val="0"/>
          <w:numId w:val="8"/>
        </w:numPr>
        <w:spacing w:line="480" w:lineRule="auto"/>
        <w:contextualSpacing/>
        <w:jc w:val="both"/>
        <w:rPr>
          <w:rFonts w:ascii="Times New Roman" w:hAnsi="Times New Roman" w:cs="Times New Roman"/>
          <w:sz w:val="24"/>
          <w:szCs w:val="24"/>
        </w:rPr>
      </w:pPr>
      <w:r w:rsidRPr="00473828">
        <w:rPr>
          <w:rFonts w:ascii="Times New Roman" w:hAnsi="Times New Roman" w:cs="Times New Roman"/>
          <w:sz w:val="24"/>
          <w:szCs w:val="24"/>
        </w:rPr>
        <w:t>Does the presence of Single Stock Futures (SSFs) alter the volatility dynamics of underlying stock returns?</w:t>
      </w:r>
    </w:p>
    <w:p w:rsidR="00A70C28" w:rsidRPr="007C70BE" w:rsidRDefault="00A70C28" w:rsidP="00473828">
      <w:pPr>
        <w:numPr>
          <w:ilvl w:val="0"/>
          <w:numId w:val="8"/>
        </w:numPr>
        <w:spacing w:line="480" w:lineRule="auto"/>
        <w:contextualSpacing/>
        <w:jc w:val="both"/>
        <w:rPr>
          <w:rFonts w:ascii="Times New Roman" w:hAnsi="Times New Roman" w:cs="Times New Roman"/>
          <w:sz w:val="24"/>
          <w:szCs w:val="24"/>
        </w:rPr>
      </w:pPr>
      <w:r w:rsidRPr="007C70BE">
        <w:rPr>
          <w:rFonts w:ascii="Times New Roman" w:hAnsi="Times New Roman" w:cs="Times New Roman"/>
          <w:sz w:val="24"/>
          <w:szCs w:val="24"/>
        </w:rPr>
        <w:t>Does the addition of co</w:t>
      </w:r>
      <w:r w:rsidR="007C70BE" w:rsidRPr="007C70BE">
        <w:rPr>
          <w:rFonts w:ascii="Times New Roman" w:hAnsi="Times New Roman" w:cs="Times New Roman"/>
          <w:sz w:val="24"/>
          <w:szCs w:val="24"/>
        </w:rPr>
        <w:t xml:space="preserve">ntrol for major sectors exhibits </w:t>
      </w:r>
      <w:r w:rsidRPr="007C70BE">
        <w:rPr>
          <w:rFonts w:ascii="Times New Roman" w:hAnsi="Times New Roman" w:cs="Times New Roman"/>
          <w:sz w:val="24"/>
          <w:szCs w:val="24"/>
        </w:rPr>
        <w:t>any differences in the results?</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We empirically assess the efficiency of underlying stocks in Pakistan Stock Exchange by constructing two market value weighted portfolios with the stocks based on whether futures are traded against them or not and then calculating portfolio returns. Excess returns </w:t>
      </w:r>
      <w:r w:rsidR="00EC5361">
        <w:rPr>
          <w:rFonts w:ascii="Times New Roman" w:hAnsi="Times New Roman" w:cs="Times New Roman"/>
          <w:sz w:val="24"/>
          <w:szCs w:val="24"/>
        </w:rPr>
        <w:t>are also</w:t>
      </w:r>
      <w:r w:rsidRPr="00473828">
        <w:rPr>
          <w:rFonts w:ascii="Times New Roman" w:hAnsi="Times New Roman" w:cs="Times New Roman"/>
          <w:sz w:val="24"/>
          <w:szCs w:val="24"/>
        </w:rPr>
        <w:t xml:space="preserve"> calculated for both portfolios. And </w:t>
      </w:r>
      <w:r w:rsidR="00EC5361">
        <w:rPr>
          <w:rFonts w:ascii="Times New Roman" w:hAnsi="Times New Roman" w:cs="Times New Roman"/>
          <w:sz w:val="24"/>
          <w:szCs w:val="24"/>
        </w:rPr>
        <w:t xml:space="preserve">we have used </w:t>
      </w:r>
      <w:r w:rsidRPr="00473828">
        <w:rPr>
          <w:rFonts w:ascii="Times New Roman" w:hAnsi="Times New Roman" w:cs="Times New Roman"/>
          <w:sz w:val="24"/>
          <w:szCs w:val="24"/>
        </w:rPr>
        <w:t xml:space="preserve">an entirely different methodology by introducing proxies of different factors in order to determine returns. </w:t>
      </w:r>
    </w:p>
    <w:p w:rsid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In literature of spot price volatility, majority of studies have used univariate GARCH or multivariate GARCH models in order to investigate volatility. We </w:t>
      </w:r>
      <w:r w:rsidR="006369D9">
        <w:rPr>
          <w:rFonts w:ascii="Times New Roman" w:hAnsi="Times New Roman" w:cs="Times New Roman"/>
          <w:sz w:val="24"/>
          <w:szCs w:val="24"/>
        </w:rPr>
        <w:t xml:space="preserve">have </w:t>
      </w:r>
      <w:r w:rsidRPr="00473828">
        <w:rPr>
          <w:rFonts w:ascii="Times New Roman" w:hAnsi="Times New Roman" w:cs="Times New Roman"/>
          <w:sz w:val="24"/>
          <w:szCs w:val="24"/>
        </w:rPr>
        <w:t>also use</w:t>
      </w:r>
      <w:r w:rsidR="006369D9">
        <w:rPr>
          <w:rFonts w:ascii="Times New Roman" w:hAnsi="Times New Roman" w:cs="Times New Roman"/>
          <w:sz w:val="24"/>
          <w:szCs w:val="24"/>
        </w:rPr>
        <w:t>d</w:t>
      </w:r>
      <w:r w:rsidRPr="00473828">
        <w:rPr>
          <w:rFonts w:ascii="Times New Roman" w:hAnsi="Times New Roman" w:cs="Times New Roman"/>
          <w:sz w:val="24"/>
          <w:szCs w:val="24"/>
        </w:rPr>
        <w:t xml:space="preserve"> univariate symmetric Generalized Autoregressive Conditional Heteroscedasticity (GARCH) model as well as asymmetric GARCH model in ord</w:t>
      </w:r>
      <w:r w:rsidR="00312CDF">
        <w:rPr>
          <w:rFonts w:ascii="Times New Roman" w:hAnsi="Times New Roman" w:cs="Times New Roman"/>
          <w:sz w:val="24"/>
          <w:szCs w:val="24"/>
        </w:rPr>
        <w:t>er to evaluate the volatility</w:t>
      </w:r>
      <w:r w:rsidRPr="00473828">
        <w:rPr>
          <w:rFonts w:ascii="Times New Roman" w:hAnsi="Times New Roman" w:cs="Times New Roman"/>
          <w:sz w:val="24"/>
          <w:szCs w:val="24"/>
        </w:rPr>
        <w:t xml:space="preserve">. </w:t>
      </w:r>
    </w:p>
    <w:p w:rsidR="00473828" w:rsidRPr="00237143" w:rsidRDefault="00473828" w:rsidP="00237143">
      <w:pPr>
        <w:pStyle w:val="Heading1"/>
        <w:spacing w:after="240"/>
        <w:jc w:val="both"/>
        <w:rPr>
          <w:rFonts w:ascii="Times New Roman" w:hAnsi="Times New Roman" w:cs="Times New Roman"/>
          <w:b/>
          <w:color w:val="auto"/>
          <w:sz w:val="28"/>
        </w:rPr>
      </w:pPr>
      <w:bookmarkStart w:id="4" w:name="_Toc520219890"/>
      <w:r w:rsidRPr="00237143">
        <w:rPr>
          <w:rFonts w:ascii="Times New Roman" w:hAnsi="Times New Roman" w:cs="Times New Roman"/>
          <w:b/>
          <w:color w:val="auto"/>
          <w:sz w:val="28"/>
        </w:rPr>
        <w:lastRenderedPageBreak/>
        <w:t>CHAPTER 2: Literature Review</w:t>
      </w:r>
      <w:bookmarkEnd w:id="4"/>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This part enlightens various researches conducted to assess the influence of future </w:t>
      </w:r>
      <w:r w:rsidR="00CB7B16">
        <w:rPr>
          <w:rFonts w:ascii="Times New Roman" w:hAnsi="Times New Roman" w:cs="Times New Roman"/>
          <w:sz w:val="24"/>
          <w:szCs w:val="24"/>
        </w:rPr>
        <w:t>trading</w:t>
      </w:r>
      <w:r w:rsidR="00402064">
        <w:rPr>
          <w:rFonts w:ascii="Times New Roman" w:hAnsi="Times New Roman" w:cs="Times New Roman"/>
          <w:sz w:val="24"/>
          <w:szCs w:val="24"/>
        </w:rPr>
        <w:t xml:space="preserve"> on the </w:t>
      </w:r>
      <w:r w:rsidRPr="00473828">
        <w:rPr>
          <w:rFonts w:ascii="Times New Roman" w:hAnsi="Times New Roman" w:cs="Times New Roman"/>
          <w:sz w:val="24"/>
          <w:szCs w:val="24"/>
        </w:rPr>
        <w:t>spot markets. Some researchers argue that stock futures adversely affect the spot market. It is because those stocks which have futures available on them enjoy high degree of leverage, low trading cost and therefore become quite attractive to unaware investors (Chu, Hsieh, Tse 1999). Several other theoretical perspectives have also been discussed in the existing literature. For example, some researchers Siddiqi et al. (2012);Bessembinder and Seguin, (1992) speculated changes in the market liquidity after the introduction of equity futures. Likewise, few studies like Chan (1992), Abhyankar, (1995), Choudhary and Bajaj (2012) examined the lead-lag relationships between future and spot market around the world.</w:t>
      </w:r>
    </w:p>
    <w:p w:rsidR="00473828" w:rsidRPr="00473828" w:rsidRDefault="00473828" w:rsidP="00473828">
      <w:pPr>
        <w:spacing w:line="480" w:lineRule="auto"/>
        <w:jc w:val="both"/>
        <w:rPr>
          <w:rFonts w:ascii="Times New Roman" w:hAnsi="Times New Roman" w:cs="Times New Roman"/>
          <w:sz w:val="24"/>
          <w:szCs w:val="24"/>
        </w:rPr>
      </w:pPr>
      <w:r w:rsidRPr="00872A00">
        <w:rPr>
          <w:rFonts w:ascii="Times New Roman" w:hAnsi="Times New Roman" w:cs="Times New Roman"/>
          <w:sz w:val="24"/>
          <w:szCs w:val="24"/>
        </w:rPr>
        <w:t xml:space="preserve">Despite </w:t>
      </w:r>
      <w:r w:rsidR="00872A00" w:rsidRPr="00872A00">
        <w:rPr>
          <w:rFonts w:ascii="Times New Roman" w:hAnsi="Times New Roman" w:cs="Times New Roman"/>
          <w:sz w:val="24"/>
          <w:szCs w:val="24"/>
        </w:rPr>
        <w:t>rigorous</w:t>
      </w:r>
      <w:r w:rsidRPr="00872A00">
        <w:rPr>
          <w:rFonts w:ascii="Times New Roman" w:hAnsi="Times New Roman" w:cs="Times New Roman"/>
          <w:sz w:val="24"/>
          <w:szCs w:val="24"/>
        </w:rPr>
        <w:t xml:space="preserve"> work done by researchers </w:t>
      </w:r>
      <w:r w:rsidR="00872A00" w:rsidRPr="00872A00">
        <w:rPr>
          <w:rFonts w:ascii="Times New Roman" w:hAnsi="Times New Roman" w:cs="Times New Roman"/>
          <w:sz w:val="24"/>
          <w:szCs w:val="24"/>
        </w:rPr>
        <w:t>at the infancy stage</w:t>
      </w:r>
      <w:r w:rsidRPr="00473828">
        <w:rPr>
          <w:rFonts w:ascii="Times New Roman" w:hAnsi="Times New Roman" w:cs="Times New Roman"/>
          <w:sz w:val="24"/>
          <w:szCs w:val="24"/>
        </w:rPr>
        <w:t>, the debate is alive again and until date, many academicians and practitioners are not able to discontinue this debate because there exists many arguments, which have equal theoretical significance</w:t>
      </w:r>
    </w:p>
    <w:p w:rsidR="00473828" w:rsidRPr="005676E0" w:rsidRDefault="00473828" w:rsidP="005676E0">
      <w:pPr>
        <w:pStyle w:val="Heading2"/>
        <w:spacing w:after="240"/>
        <w:jc w:val="both"/>
        <w:rPr>
          <w:rFonts w:ascii="Times New Roman" w:hAnsi="Times New Roman" w:cs="Times New Roman"/>
          <w:b/>
          <w:color w:val="auto"/>
          <w:sz w:val="24"/>
          <w:szCs w:val="24"/>
        </w:rPr>
      </w:pPr>
      <w:bookmarkStart w:id="5" w:name="_Toc520219891"/>
      <w:r w:rsidRPr="005676E0">
        <w:rPr>
          <w:rFonts w:ascii="Times New Roman" w:hAnsi="Times New Roman" w:cs="Times New Roman"/>
          <w:b/>
          <w:color w:val="auto"/>
          <w:sz w:val="24"/>
          <w:szCs w:val="24"/>
        </w:rPr>
        <w:t>2.1 Futures Trading and Market Efficiency</w:t>
      </w:r>
      <w:bookmarkEnd w:id="5"/>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Several researchers have examined the impact on market efficiency after the introduction of futures in the market. Futures trading can bring variation in available information in the market for two reasons as argued by Cox (1976). First, futures results in more investors in the market as it attracts them due to its characteristics. Second, new information can be transmitted to the spot market more quickly due to the low transaction costs in futures market than spot market. In earlier times, Antoniou and Homes (1995) analyzed the influence of futures trading on FTSE-100 stock index. The findings implied that futures trading enhanced the speed and quality of information flowing to the spot market, hence the efficiency of the market.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lastRenderedPageBreak/>
        <w:t xml:space="preserve">Danthine (1978) examined the informational role of futures prices and the association between spot prices and futures prices by introducing a model. The author derived few implications of the model; the futures price is a biased evaluation of the spot price, therefore, the expected profits of investors are positive. And this informative aspect of futures trading results in stable impact of assumptions on spot prices as price serves as a sufficient statistic. A similar model of futures market was analyzed by Bray (1981) but it was concluded that the price does not provide ‘complete’ information to the agents. Later, a study by Lee and Ohk (1992) was conducted to assess the change in market efficiency after the introduction of index futures trading. It was found that, although the introduction of Nikkei 225 exerted an increasing impact on cash stock price, it made the stock market comparatively more efficient as information was quickly integrated in that market.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Black (2001) asserted that such uniformed investors behave illogically in the market and consequently create market noise. This activity leads to flat and inconsistent informational flow that creates fluctuation in the asset price (Cagan, 1981; Harris, 1989). Similarly, Cox (1976) developed a model that established a relationship between spot-price behavior and market information. He inspected price series for six different commodities and the empirical evidence depicted that futures’ trading leads to an increase in information of traders regarding forces influencing demand and supply.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In order to observe the relationship between Nifty index futures and spot Nifty index and to investigate the flow of information in the market after the introduction of futures, Thenmozhi (2002) conducted a study. The study showed that futures market transmits information to cash market and futures market is faster than spot market in processing information. It is also revealed </w:t>
      </w:r>
      <w:r w:rsidRPr="00473828">
        <w:rPr>
          <w:rFonts w:ascii="Times New Roman" w:hAnsi="Times New Roman" w:cs="Times New Roman"/>
          <w:sz w:val="24"/>
          <w:szCs w:val="24"/>
        </w:rPr>
        <w:lastRenderedPageBreak/>
        <w:t xml:space="preserve">through lead-lag analysis that futures market lead the spot market because of the greater information absorption by the index futures contracts.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Then, in order to inspect the influence of Korea Composite Stock Price Index (KOSPI) 200 index futures on the efficiency Bae, Kwon and Park (2004) conducted an event study and utilized matching sample approach. The trading efficiency was examined and the findings suggested that the introduction of derivatives trading led to an increase in market efficiency of the underlying Korean stock market. Since, futures markets require les</w:t>
      </w:r>
      <w:r w:rsidR="00294C2C">
        <w:rPr>
          <w:rFonts w:ascii="Times New Roman" w:hAnsi="Times New Roman" w:cs="Times New Roman"/>
          <w:sz w:val="24"/>
          <w:szCs w:val="24"/>
        </w:rPr>
        <w:t xml:space="preserve">s capital for trading as compared to </w:t>
      </w:r>
      <w:r w:rsidRPr="00473828">
        <w:rPr>
          <w:rFonts w:ascii="Times New Roman" w:hAnsi="Times New Roman" w:cs="Times New Roman"/>
          <w:sz w:val="24"/>
          <w:szCs w:val="24"/>
        </w:rPr>
        <w:t xml:space="preserve">the spot market, thus, futures trading will lead to </w:t>
      </w:r>
      <w:r w:rsidR="00EE13F2" w:rsidRPr="00473828">
        <w:rPr>
          <w:rFonts w:ascii="Times New Roman" w:hAnsi="Times New Roman" w:cs="Times New Roman"/>
          <w:sz w:val="24"/>
          <w:szCs w:val="24"/>
        </w:rPr>
        <w:t>lesser</w:t>
      </w:r>
      <w:r w:rsidRPr="00473828">
        <w:rPr>
          <w:rFonts w:ascii="Times New Roman" w:hAnsi="Times New Roman" w:cs="Times New Roman"/>
          <w:sz w:val="24"/>
          <w:szCs w:val="24"/>
        </w:rPr>
        <w:t xml:space="preserve"> transaction cost and </w:t>
      </w:r>
      <w:r w:rsidR="00EE13F2" w:rsidRPr="00473828">
        <w:rPr>
          <w:rFonts w:ascii="Times New Roman" w:hAnsi="Times New Roman" w:cs="Times New Roman"/>
          <w:sz w:val="24"/>
          <w:szCs w:val="24"/>
        </w:rPr>
        <w:t>quicker</w:t>
      </w:r>
      <w:r w:rsidRPr="00473828">
        <w:rPr>
          <w:rFonts w:ascii="Times New Roman" w:hAnsi="Times New Roman" w:cs="Times New Roman"/>
          <w:sz w:val="24"/>
          <w:szCs w:val="24"/>
        </w:rPr>
        <w:t xml:space="preserve"> and more efficient price </w:t>
      </w:r>
      <w:r w:rsidR="00294C2C" w:rsidRPr="00473828">
        <w:rPr>
          <w:rFonts w:ascii="Times New Roman" w:hAnsi="Times New Roman" w:cs="Times New Roman"/>
          <w:sz w:val="24"/>
          <w:szCs w:val="24"/>
        </w:rPr>
        <w:t>regulations</w:t>
      </w:r>
      <w:r w:rsidRPr="00473828">
        <w:rPr>
          <w:rFonts w:ascii="Times New Roman" w:hAnsi="Times New Roman" w:cs="Times New Roman"/>
          <w:sz w:val="24"/>
          <w:szCs w:val="24"/>
        </w:rPr>
        <w:t>. Also, it was revealed that non-KOSPI 200 stocks exhibited lower efficiency than KOSPI 200 stocks.</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Another research in Greece conducted by Drimbetas, Sariannidis and Porfiris (2007), revealed that futures trading facilitated in making the market more stable. They asserted that futures aid in the distribution of risk to many investors in the market and by hedging spot positions, the risk is transferred to those who are willing or capable of taking it. This transfer ultimately results in improved operations of spot market. Moreover, futures trading enhance informational efficiency of a spot market through traders who are specialized in collecting and evaluating apt information.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The findings of the study, hence, suggested that the derivatives (futures) inflate the investment opportunities in the market, aid hedging and enhance the daily functioning of the market. It is also being deduced that the introduction of futures in Greece market has stabilizing impact because of the growing contribution of well-informed investors in the small market that regularizes the market. Derivatives trading might have an influence on prices of underlying stocks. It is because it alters the information revelation in prices and trading volume. Thus, in order to examine the role of futures trading in price discovery, Shastri, Thirulamai and Zutter </w:t>
      </w:r>
      <w:r w:rsidRPr="00473828">
        <w:rPr>
          <w:rFonts w:ascii="Times New Roman" w:hAnsi="Times New Roman" w:cs="Times New Roman"/>
          <w:sz w:val="24"/>
          <w:szCs w:val="24"/>
        </w:rPr>
        <w:lastRenderedPageBreak/>
        <w:t xml:space="preserve">(2008) evaluated monthly data of 137 futures and their underlying stock. The results indicated that single stock futures contributed twenty-four percent of the information disclosure about individual stocks. The authors also conjectured that a higher ratio of volume (futures to underlying stock), lower underlying stock volatility and narrower spread ratio results in higher share of information of SSFs in the process of price discovery of underlying stocks.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In addition, the quality of underlying stock market enhanced greatly on the days of SSFs trading. There is also a greater efficiency over time due to both market-level and security-level learning in futures market. Thus, futures market makes a significant input in the price discovery of underlying stocks.</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Another study conducted by De Beer (2009) examined thirty-eight South African companies and conjectured that trading in SSFs permitted quick dispersion of the shock effect in the market. This quick dispersion was mainly caused by the faster diffusion of the news that led to an efficient market. The authors asserted that initial SSFs trading had a slower but long lasting impact on the information the market. This suggested that futures trading attracted uninformed investors to both futures market as well as spot market.</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Then, a research conducted by Debasish (2009) depicted the variation in market efficiency after the introduction of futures trading. For this, the author chose 15 individual stocks in Indian market and assessed the change in market dynamics in the post-futures period. The author concluded that efficiency was reduced due to the futures trading. And this reduction was associated with costs futures trading; short-term </w:t>
      </w:r>
      <w:r w:rsidRPr="00473828">
        <w:rPr>
          <w:rFonts w:ascii="Times New Roman" w:hAnsi="Times New Roman" w:cs="Times New Roman"/>
          <w:i/>
          <w:sz w:val="24"/>
          <w:szCs w:val="24"/>
        </w:rPr>
        <w:t>costs</w:t>
      </w:r>
      <w:r w:rsidRPr="00473828">
        <w:rPr>
          <w:rFonts w:ascii="Times New Roman" w:hAnsi="Times New Roman" w:cs="Times New Roman"/>
          <w:sz w:val="24"/>
          <w:szCs w:val="24"/>
        </w:rPr>
        <w:t xml:space="preserve"> in terms of reduction in market efficiency.</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In 2009, futures trading was resumed in Pakistani stock market with more rigorous trading regulations and enhanced risk management after the stock market crisis. Malik and Shah (2017) </w:t>
      </w:r>
      <w:r w:rsidRPr="00473828">
        <w:rPr>
          <w:rFonts w:ascii="Times New Roman" w:hAnsi="Times New Roman" w:cs="Times New Roman"/>
          <w:sz w:val="24"/>
          <w:szCs w:val="24"/>
        </w:rPr>
        <w:lastRenderedPageBreak/>
        <w:t xml:space="preserve">conducted a study on resumption of Single Stock Futures (SSFs) and its impact on market efficiency. The authors conjectured the change in market efficiency post-resumption of SSFs contracts. For this, they chose 23 SSFs listed on KSE index and a matched sample of 22 non-SSFs. The results revealed no significant impact of advent of SSFs on market efficiency. However, this study asserted that there exists no destabilizing effect of SSFs on the underlying stocks.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Then, Gahlot and Datta (2011) examined the efficiency in Indian market after the introduction of futures. The authors tested the influence of futures trading on weak-form efficiency of CNX100 index, the leverage effect and the relationship between different indices. The results revealed that market became inefficient in post-futures period (when calculated from median). However, futures trading showed no impact on weak-form efficiency (when calculated from mean).</w:t>
      </w:r>
    </w:p>
    <w:p w:rsidR="00473828" w:rsidRPr="005676E0" w:rsidRDefault="00473828" w:rsidP="005676E0">
      <w:pPr>
        <w:pStyle w:val="Heading3"/>
        <w:spacing w:after="240"/>
        <w:jc w:val="both"/>
        <w:rPr>
          <w:rFonts w:ascii="Times New Roman" w:hAnsi="Times New Roman" w:cs="Times New Roman"/>
          <w:b/>
          <w:color w:val="auto"/>
        </w:rPr>
      </w:pPr>
      <w:bookmarkStart w:id="6" w:name="_Toc520219892"/>
      <w:r w:rsidRPr="005676E0">
        <w:rPr>
          <w:rFonts w:ascii="Times New Roman" w:hAnsi="Times New Roman" w:cs="Times New Roman"/>
          <w:b/>
          <w:color w:val="auto"/>
        </w:rPr>
        <w:t>2.2 Futures Trading and Market Volatility</w:t>
      </w:r>
      <w:bookmarkEnd w:id="6"/>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Several studies have evaluated the impact of market volatility on the underlying stock market. Edwards (1988) was among the pioneers who evaluated the relationship between future markets and the volatility of the stock market. He estimated the relationship by incorporating pre and post-futures introduction data and challenged the existing literature by Irwin and Brorsen (1985), Barro (1986), that the introduction of futures undermine the underlying spot market. Edwards (1988) analyzed S&amp;P 500 index and concluded that there is no undermining effect of futures trading on the stock market. Subsequently, various other researchers around the globe started estimating the impact of introduction of futures utilizing different models, different time-period, markets, and different data used for analysis.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lastRenderedPageBreak/>
        <w:t>The volatility studies could be encapsulated in three categories: studies that concluded an increase in volatility due to futures market, studies that reported decrease in volatility and studies that stated no change in the market volatility.</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Harris (1989) compared the S&amp;P 500 stock price volatilities with non-S&amp;P stock price volatilities while controlling for several cross-sectional factors that could affect prices. He concluded that the volatility of individual stock increased after introduction of index futures and index options trading. Although the difference in volatility is statistically significant, but it has very little economic significance.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Similarly, Lockwood and Linn (1990) examined the variations in hourly market returns during the period of 1964-1989. The results of the study indicated that stock return volatility was significantly higher for intraday periods than overnight periods. The findings also suggested that stock market volatility changed significantly over time, thereby increasing after introduction of options trading in 1973, decreasing after fixed commissions were eradicated in year 1975, increasing again after beginning of index futures trading in 1982 and decreasing again after margin requirements became larger for trading in index futures in 1988.</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Some researchers have suggested that index futures trading leads to an increase in speculative activity that destabilizes cash markets and results in higher volatility. </w:t>
      </w:r>
      <w:r w:rsidR="0089286E" w:rsidRPr="00473828">
        <w:rPr>
          <w:rFonts w:ascii="Times New Roman" w:hAnsi="Times New Roman" w:cs="Times New Roman"/>
          <w:sz w:val="24"/>
          <w:szCs w:val="24"/>
        </w:rPr>
        <w:t>Lee and Ohk (1992)</w:t>
      </w:r>
      <w:r w:rsidR="0089286E">
        <w:rPr>
          <w:rFonts w:ascii="Times New Roman" w:hAnsi="Times New Roman" w:cs="Times New Roman"/>
          <w:sz w:val="24"/>
          <w:szCs w:val="24"/>
        </w:rPr>
        <w:t xml:space="preserve"> conducted a study</w:t>
      </w:r>
      <w:r w:rsidR="0089286E" w:rsidRPr="00473828">
        <w:rPr>
          <w:rFonts w:ascii="Times New Roman" w:hAnsi="Times New Roman" w:cs="Times New Roman"/>
          <w:sz w:val="24"/>
          <w:szCs w:val="24"/>
        </w:rPr>
        <w:t xml:space="preserve"> to gauge the effect of trading in future markets on the volatility of stock return in Hong Kong, Japan, Australia and United Kingdom conducted a study</w:t>
      </w:r>
      <w:r w:rsidRPr="00473828">
        <w:rPr>
          <w:rFonts w:ascii="Times New Roman" w:hAnsi="Times New Roman" w:cs="Times New Roman"/>
          <w:sz w:val="24"/>
          <w:szCs w:val="24"/>
        </w:rPr>
        <w:t>. The analysis revealed a significant increase in the stock market volatility after the introduction of trading in stock index futures except the Australia</w:t>
      </w:r>
      <w:r w:rsidR="00B669FC">
        <w:rPr>
          <w:rFonts w:ascii="Times New Roman" w:hAnsi="Times New Roman" w:cs="Times New Roman"/>
          <w:sz w:val="24"/>
          <w:szCs w:val="24"/>
        </w:rPr>
        <w:t xml:space="preserve">n and Hong Kong stock market. </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lastRenderedPageBreak/>
        <w:t xml:space="preserve">In Australian market, no significant increase was found in the stock market volatility whereas; the stock market in Hong Kong showed a decrease in the volatility. So, it was made evident from the study that the impact of index futures on the spot market volatility differs from country to country not merely because of diverse market structures but fundamentally because of different macroeconomic situations dominant in each country. </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Bae, Kwon and Park (2004) also inspected the influence of Korea Composite Stock Price Index (KOSPI) 200 index futures on the underlying stock market volatility through an event study and approach of matching sample. The authors assessed the spot price volatility change in </w:t>
      </w:r>
      <w:r w:rsidR="00B25BF8">
        <w:rPr>
          <w:rFonts w:ascii="Times New Roman" w:hAnsi="Times New Roman" w:cs="Times New Roman"/>
          <w:sz w:val="24"/>
          <w:szCs w:val="24"/>
        </w:rPr>
        <w:t xml:space="preserve">futures-listed </w:t>
      </w:r>
      <w:r w:rsidRPr="00473828">
        <w:rPr>
          <w:rFonts w:ascii="Times New Roman" w:hAnsi="Times New Roman" w:cs="Times New Roman"/>
          <w:sz w:val="24"/>
          <w:szCs w:val="24"/>
        </w:rPr>
        <w:t xml:space="preserve">stocks </w:t>
      </w:r>
      <w:r w:rsidR="00014081">
        <w:rPr>
          <w:rFonts w:ascii="Times New Roman" w:hAnsi="Times New Roman" w:cs="Times New Roman"/>
          <w:sz w:val="24"/>
          <w:szCs w:val="24"/>
        </w:rPr>
        <w:t xml:space="preserve">in </w:t>
      </w:r>
      <w:r w:rsidR="00014081" w:rsidRPr="00473828">
        <w:rPr>
          <w:rFonts w:ascii="Times New Roman" w:hAnsi="Times New Roman" w:cs="Times New Roman"/>
          <w:sz w:val="24"/>
          <w:szCs w:val="24"/>
        </w:rPr>
        <w:t>relation</w:t>
      </w:r>
      <w:r w:rsidRPr="00473828">
        <w:rPr>
          <w:rFonts w:ascii="Times New Roman" w:hAnsi="Times New Roman" w:cs="Times New Roman"/>
          <w:sz w:val="24"/>
          <w:szCs w:val="24"/>
        </w:rPr>
        <w:t xml:space="preserve"> to non-</w:t>
      </w:r>
      <w:r w:rsidR="00B25BF8">
        <w:rPr>
          <w:rFonts w:ascii="Times New Roman" w:hAnsi="Times New Roman" w:cs="Times New Roman"/>
          <w:sz w:val="24"/>
          <w:szCs w:val="24"/>
        </w:rPr>
        <w:t>futures listed</w:t>
      </w:r>
      <w:r w:rsidRPr="00473828">
        <w:rPr>
          <w:rFonts w:ascii="Times New Roman" w:hAnsi="Times New Roman" w:cs="Times New Roman"/>
          <w:sz w:val="24"/>
          <w:szCs w:val="24"/>
        </w:rPr>
        <w:t xml:space="preserve"> stocks due to index futures trading.  The findings suggested that the introduction of derivatives trading led to a simultaneous increase in spot price volatility of the underlying Korean stock mark</w:t>
      </w:r>
      <w:r w:rsidR="00672B32">
        <w:rPr>
          <w:rFonts w:ascii="Times New Roman" w:hAnsi="Times New Roman" w:cs="Times New Roman"/>
          <w:sz w:val="24"/>
          <w:szCs w:val="24"/>
        </w:rPr>
        <w:t>et. Also, it was found that non</w:t>
      </w:r>
      <w:r w:rsidR="004F7CDB">
        <w:rPr>
          <w:rFonts w:ascii="Times New Roman" w:hAnsi="Times New Roman" w:cs="Times New Roman"/>
          <w:sz w:val="24"/>
          <w:szCs w:val="24"/>
        </w:rPr>
        <w:t>-futures listed s</w:t>
      </w:r>
      <w:r w:rsidRPr="00473828">
        <w:rPr>
          <w:rFonts w:ascii="Times New Roman" w:hAnsi="Times New Roman" w:cs="Times New Roman"/>
          <w:sz w:val="24"/>
          <w:szCs w:val="24"/>
        </w:rPr>
        <w:t xml:space="preserve">tocks exhibited higher spot price volatility than </w:t>
      </w:r>
      <w:r w:rsidR="004F7CDB">
        <w:rPr>
          <w:rFonts w:ascii="Times New Roman" w:hAnsi="Times New Roman" w:cs="Times New Roman"/>
          <w:sz w:val="24"/>
          <w:szCs w:val="24"/>
        </w:rPr>
        <w:t>futures-listed</w:t>
      </w:r>
      <w:r w:rsidRPr="00473828">
        <w:rPr>
          <w:rFonts w:ascii="Times New Roman" w:hAnsi="Times New Roman" w:cs="Times New Roman"/>
          <w:sz w:val="24"/>
          <w:szCs w:val="24"/>
        </w:rPr>
        <w:t xml:space="preserve"> stocks. </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In the same year, Zhong, Darrat and Otero (2004) tested another daily data from emerging market of Mexico in order to analyze the volatility of futures market. The results revealed a significant role of futures market in inciting volatility although futures market induced instability in the spot market. Later, Gahlot and Datta (2011) examined the volatility in Indian market after the introduction of futures. The results revealed little but insignificant increase in volatility after the introduction of futures trading.</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The second category of studies includes those researches that showed a </w:t>
      </w:r>
      <w:r w:rsidRPr="00473828">
        <w:rPr>
          <w:rFonts w:ascii="Times New Roman" w:hAnsi="Times New Roman" w:cs="Times New Roman"/>
          <w:b/>
          <w:sz w:val="24"/>
          <w:szCs w:val="24"/>
        </w:rPr>
        <w:t>decrease in volatility</w:t>
      </w:r>
      <w:r w:rsidRPr="00473828">
        <w:rPr>
          <w:rFonts w:ascii="Times New Roman" w:hAnsi="Times New Roman" w:cs="Times New Roman"/>
          <w:sz w:val="24"/>
          <w:szCs w:val="24"/>
        </w:rPr>
        <w:t xml:space="preserve"> after the introduction of single stock futures in the market. For instance, Nath (2003) conducted a research in Indian market to assess the volatility behavior in pre and post futures trading period by utilizing conditional and static variance. The author considered 20 stocks from both NIFTY and NIFTY JUNIOR and used data for longer period, which took various cyclical trends in </w:t>
      </w:r>
      <w:r w:rsidRPr="00473828">
        <w:rPr>
          <w:rFonts w:ascii="Times New Roman" w:hAnsi="Times New Roman" w:cs="Times New Roman"/>
          <w:sz w:val="24"/>
          <w:szCs w:val="24"/>
        </w:rPr>
        <w:lastRenderedPageBreak/>
        <w:t xml:space="preserve">consideration. He concluded that the volatility declined in the post-single stock futures period. His findings were in line with earlier studies like Thenmozhi (2002) and Gupta (2002). </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Despite the fact that cash market and futures market are correlated, there is no a deducible reason to consider that the trading levels in both the market are indivisibly connected. It is because theoretical models do not substantiate the declaration that there should be balance between the trading volumes of both the markets. To test this, Brown-Hruska and Kuserk (1995) examined the association between trading volumes in index futures market and stock market and the price volatility.</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In order to examine the relationship between Nifty index futures and spot Nifty index and to investigate the volatility before and after the introduction of futures, Thenmozhi (2002) computed standard deviations of daily returns. The findings of this study revealed a decline in volatility in post-futures period. The reduced volatility might be ascribed to more trading in cash markets because of increased flow of information in the market, resulting in cash markets being liquid, thus less volatile. It is also revealed through lead-lag analysis that futures market lead the spot market because of the greater information absorption by the index futures contracts. </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The authors conducted the analysis using data S &amp; P 500 futures contract and the stocks that are traded on New York Stock Exchange (NYSE). The analysis revealed, if the expected ratio of futures trading to cash market trading was higher, then it was being allied with lower price volatility in the cash market. A positive relationship between cash market volume and price volatility was also found. Another study by De Beer (2009) was conducted by evaluating the impact of post SSFs trading on the volatility level of shares. The authors evaluated thirty-eight compainesand made evident from the analysis that after the trading of SSFs, there was a reduction in the volatility level of the underlying market.</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lastRenderedPageBreak/>
        <w:t xml:space="preserve">Also, Debasish (2009) demonstrated the spot price volatility after the introduction of futures trading. For this, the author selected 15 individual Indian market stocks and assessed the change in volatility in the post-futures period. The author estimated that spot price volatility was reduced due to the futures trading. And this reduction was linked to gains of futures trading; short-term </w:t>
      </w:r>
      <w:r w:rsidRPr="00473828">
        <w:rPr>
          <w:rFonts w:ascii="Times New Roman" w:hAnsi="Times New Roman" w:cs="Times New Roman"/>
          <w:i/>
          <w:sz w:val="24"/>
          <w:szCs w:val="24"/>
        </w:rPr>
        <w:t>gains</w:t>
      </w:r>
      <w:r w:rsidRPr="00473828">
        <w:rPr>
          <w:rFonts w:ascii="Times New Roman" w:hAnsi="Times New Roman" w:cs="Times New Roman"/>
          <w:sz w:val="24"/>
          <w:szCs w:val="24"/>
        </w:rPr>
        <w:t xml:space="preserve"> in terms of more stable market due to reduced volatility.</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Drimbetas, Sariannidis and Porfiris (2007) also conducted a research in Greece in order to support the idea of reduced spot market volatility after the introduction of futures trading. They proclaimed that the futures trading decreases the volatility of underlying market, thereby making the market stable. Specifically, futures provide a channel for securities traders to confine themselves against adverse changes in price. </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The similar findings could also be found in Pakistan’s context where a research conducted by Khan and Hijazi (2009) showed a reduction in return volatility after </w:t>
      </w:r>
      <w:r w:rsidR="00282DA0">
        <w:rPr>
          <w:rFonts w:ascii="Times New Roman" w:hAnsi="Times New Roman" w:cs="Times New Roman"/>
          <w:sz w:val="24"/>
          <w:szCs w:val="24"/>
        </w:rPr>
        <w:t>the commencement of futures market in</w:t>
      </w:r>
      <w:r w:rsidRPr="00473828">
        <w:rPr>
          <w:rFonts w:ascii="Times New Roman" w:hAnsi="Times New Roman" w:cs="Times New Roman"/>
          <w:sz w:val="24"/>
          <w:szCs w:val="24"/>
        </w:rPr>
        <w:t xml:space="preserve"> Karachi Stock Exchange. These findings from the Pakistan’s context support those theories, which have implied that trading in equity derivatives improves provision of liquidity and the depth in the equity market. The study revealed positive association between spot trading volume and price volatility. Also, the expected futures volume came out to be statistically significant and negatively linked to volatility, hence indicated that volatility of equity alleviated when there was high expected futures activity in the market. </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After a couple of years, Khan, Shah and Abbas (2011) conducted another study on single stock futures (SSFs) in Pakistan using GJR-GARCH model. They included non-SSFs stocks as well in their sample in order to cater the </w:t>
      </w:r>
      <w:r w:rsidR="001A078D" w:rsidRPr="00473828">
        <w:rPr>
          <w:rFonts w:ascii="Times New Roman" w:hAnsi="Times New Roman" w:cs="Times New Roman"/>
          <w:sz w:val="24"/>
          <w:szCs w:val="24"/>
        </w:rPr>
        <w:t>consequence</w:t>
      </w:r>
      <w:r w:rsidRPr="00473828">
        <w:rPr>
          <w:rFonts w:ascii="Times New Roman" w:hAnsi="Times New Roman" w:cs="Times New Roman"/>
          <w:sz w:val="24"/>
          <w:szCs w:val="24"/>
        </w:rPr>
        <w:t xml:space="preserve"> of industry-specific and market-wide factors on the volatility of the underlying market. The authors inferred that there had been a decline in price </w:t>
      </w:r>
      <w:r w:rsidRPr="00473828">
        <w:rPr>
          <w:rFonts w:ascii="Times New Roman" w:hAnsi="Times New Roman" w:cs="Times New Roman"/>
          <w:sz w:val="24"/>
          <w:szCs w:val="24"/>
        </w:rPr>
        <w:lastRenderedPageBreak/>
        <w:t>volatility for some of the SSFs and non-SSFs stocks. Thus, futures trading did not lead to undermining of Pakistani market in the post-futures period.</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The third category of studies depicted </w:t>
      </w:r>
      <w:r w:rsidRPr="00473828">
        <w:rPr>
          <w:rFonts w:ascii="Times New Roman" w:hAnsi="Times New Roman" w:cs="Times New Roman"/>
          <w:b/>
          <w:sz w:val="24"/>
          <w:szCs w:val="24"/>
        </w:rPr>
        <w:t>no significant changes in the volatility</w:t>
      </w:r>
      <w:r w:rsidRPr="00473828">
        <w:rPr>
          <w:rFonts w:ascii="Times New Roman" w:hAnsi="Times New Roman" w:cs="Times New Roman"/>
          <w:sz w:val="24"/>
          <w:szCs w:val="24"/>
        </w:rPr>
        <w:t xml:space="preserve"> after the introduction of single stock futures. For instance, Gahlot and Datta (2011) used closing prices of S &amp; P CNX Nifty and closing prices of ten individual stocks (five derivative stocks and equal number of non-derivative stocks) for a three-year period. The authors used a dummy variable in GARCH model to analyze the influence of futures on the volatility, which was zero pre-SSFs and one post-SSFs. In case of S &amp; P CNX Nifty, the dummy coefficient was negative and negligible which depicted insignificant impact on volatility. Whereas, the analysis revealed mixed results for the individual stocks. </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Few studies provided empirical evidence on the intraday association between trading volume and spot volatility in different stock markets. Illueca and Lafuente (2003) used GARCH methodology in order to evaluate the link between trading volume and volatility in Spanish index futures market. The authors proclaimed there was no evidence that demonstrated the volatility transmission from the futures market to the spot market. Hence, this research did not support the idea of futures market being a force behind changes in the volatility. For further elaboration, Bessembinder and Seguin (1992) divided the futures trading activity into two components: expected and unexpected. The unexpected spot-trading volume was found to have significantly larger influence on volatility than the expected spot-trading volume. Furthermore, a positive link was found between unexpected futures trading volume and spot volatility, whereas, expected futures trading volume and spot volatility was negatively associated with each other. In addition, the authors concluded that there was no association between spot equity volatility and the life cycle of futures. In addition, there was no evidence found for the theory that the introduction of </w:t>
      </w:r>
      <w:r w:rsidRPr="00473828">
        <w:rPr>
          <w:rFonts w:ascii="Times New Roman" w:hAnsi="Times New Roman" w:cs="Times New Roman"/>
          <w:sz w:val="24"/>
          <w:szCs w:val="24"/>
        </w:rPr>
        <w:lastRenderedPageBreak/>
        <w:t xml:space="preserve">futures leads to price destabilization. Hence, this study was also consistent with other studies that futures trading enhances the liquidity and depth of the equity markets. </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Darrat, Rehman and Zhong (2002) also asserted that volatility in cash market is not prompted by futures market volatility. The authors have particularly focused on the feedback and causal association between futures and cash market volatilities. They have adopted a more superior methodology EGARCH to assess the linkages. Another theoretical possibility was put forward that an unsteady spot market itself could incite volatility in the index futures market. Hence, the projected regulations for restricting futures market activities appear to be unjustified and probably even pointless, because such regulations might become the cause of heavy and unsettling costs on participants of the market. </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There might be other plausible causes of instable spot market like psychology of investors, trading technology, microstructures of market and capital market globalization. Therefore, identification and understanding of true culprit is significant in order to mitigate the futures market volatility. Thus, Jochum and Kodres (1998) also studied the </w:t>
      </w:r>
      <w:r w:rsidR="001A078D" w:rsidRPr="00473828">
        <w:rPr>
          <w:rFonts w:ascii="Times New Roman" w:hAnsi="Times New Roman" w:cs="Times New Roman"/>
          <w:sz w:val="24"/>
          <w:szCs w:val="24"/>
        </w:rPr>
        <w:t>influence</w:t>
      </w:r>
      <w:r w:rsidRPr="00473828">
        <w:rPr>
          <w:rFonts w:ascii="Times New Roman" w:hAnsi="Times New Roman" w:cs="Times New Roman"/>
          <w:sz w:val="24"/>
          <w:szCs w:val="24"/>
        </w:rPr>
        <w:t xml:space="preserve"> of </w:t>
      </w:r>
      <w:r w:rsidR="001A078D">
        <w:rPr>
          <w:rFonts w:ascii="Times New Roman" w:hAnsi="Times New Roman" w:cs="Times New Roman"/>
          <w:sz w:val="24"/>
          <w:szCs w:val="24"/>
        </w:rPr>
        <w:t xml:space="preserve">futures trading on the volatility of </w:t>
      </w:r>
      <w:r w:rsidRPr="00473828">
        <w:rPr>
          <w:rFonts w:ascii="Times New Roman" w:hAnsi="Times New Roman" w:cs="Times New Roman"/>
          <w:sz w:val="24"/>
          <w:szCs w:val="24"/>
        </w:rPr>
        <w:t xml:space="preserve">spot market in four different countries; Australia, Mexico, Brazil and Hungary. For this purpose, the authors used time-series approach in place of cross-sectional method. The results revealed that the impact of futures market on spot market volatility is short-lived and spot market volatility is primarily explicated by changes/fluctuations in spot market. The analysis suggested a stabilizing impact emanating from the futures market on the spot market. </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Likewise, Gulen and Mayhew (2000) conducted a comparative study in twenty-five countries for the assessment of stock market volatility before and after the introduction of futures trading. The results indicated an increase in volatility in two largest markets; United States and Japan, </w:t>
      </w:r>
      <w:r w:rsidRPr="00473828">
        <w:rPr>
          <w:rFonts w:ascii="Times New Roman" w:hAnsi="Times New Roman" w:cs="Times New Roman"/>
          <w:sz w:val="24"/>
          <w:szCs w:val="24"/>
        </w:rPr>
        <w:lastRenderedPageBreak/>
        <w:t xml:space="preserve">whereas, the volatility declined or remained unchanged after the introduction of stock index futures in almost all other countries. In addition, the decrease in volatility came out to be statistically significant in most of the countries. The authors also tested whether volatility was linked to futures market volume and open interest. It was found out that the unexpected component of futures trading volume is positively associated to the volatility whereas, the volatility is likely to be lower when stock index futures has high open interest. The futures market also appeared to play a significant role for stabilization of emerging markets. </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Later, Malik and Shah (2017) conducted a study on resumption of Single Stock Futures (SSFs) and its impact on volatility. The authors conjectured the change in spot price volatility post-resumption of SSFs contracts. For this, they picked 23 SSFs listed on KSE index and a matched sample non-SSFs. The results showed no significant impact of introduction of SSFs on volatility of underlying SSFs stocks as well as non-SSFs stocks. </w:t>
      </w:r>
    </w:p>
    <w:p w:rsidR="00473828" w:rsidRPr="00473828" w:rsidRDefault="00473828" w:rsidP="00473828">
      <w:pPr>
        <w:tabs>
          <w:tab w:val="left" w:pos="8610"/>
        </w:tabs>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Overall, the literature on this particular area provides mixed theoretical and empirical evidences. Table 1 provides a summary of literature reviewed for this research. </w:t>
      </w:r>
    </w:p>
    <w:p w:rsidR="007C70BE" w:rsidRDefault="007C70BE" w:rsidP="00473828">
      <w:pPr>
        <w:tabs>
          <w:tab w:val="left" w:pos="8610"/>
        </w:tabs>
        <w:spacing w:line="480" w:lineRule="auto"/>
        <w:jc w:val="center"/>
        <w:rPr>
          <w:rFonts w:ascii="Times New Roman" w:hAnsi="Times New Roman" w:cs="Times New Roman"/>
          <w:b/>
          <w:sz w:val="24"/>
          <w:szCs w:val="24"/>
        </w:rPr>
      </w:pPr>
    </w:p>
    <w:p w:rsidR="007C70BE" w:rsidRDefault="007C70BE" w:rsidP="00473828">
      <w:pPr>
        <w:tabs>
          <w:tab w:val="left" w:pos="8610"/>
        </w:tabs>
        <w:spacing w:line="480" w:lineRule="auto"/>
        <w:jc w:val="center"/>
        <w:rPr>
          <w:rFonts w:ascii="Times New Roman" w:hAnsi="Times New Roman" w:cs="Times New Roman"/>
          <w:b/>
          <w:sz w:val="24"/>
          <w:szCs w:val="24"/>
        </w:rPr>
      </w:pPr>
    </w:p>
    <w:p w:rsidR="007C70BE" w:rsidRDefault="007C70BE" w:rsidP="00473828">
      <w:pPr>
        <w:tabs>
          <w:tab w:val="left" w:pos="8610"/>
        </w:tabs>
        <w:spacing w:line="480" w:lineRule="auto"/>
        <w:jc w:val="center"/>
        <w:rPr>
          <w:rFonts w:ascii="Times New Roman" w:hAnsi="Times New Roman" w:cs="Times New Roman"/>
          <w:b/>
          <w:sz w:val="24"/>
          <w:szCs w:val="24"/>
        </w:rPr>
      </w:pPr>
    </w:p>
    <w:p w:rsidR="007C70BE" w:rsidRDefault="007C70BE" w:rsidP="00473828">
      <w:pPr>
        <w:tabs>
          <w:tab w:val="left" w:pos="8610"/>
        </w:tabs>
        <w:spacing w:line="480" w:lineRule="auto"/>
        <w:jc w:val="center"/>
        <w:rPr>
          <w:rFonts w:ascii="Times New Roman" w:hAnsi="Times New Roman" w:cs="Times New Roman"/>
          <w:b/>
          <w:sz w:val="24"/>
          <w:szCs w:val="24"/>
        </w:rPr>
      </w:pPr>
    </w:p>
    <w:p w:rsidR="00473828" w:rsidRPr="00473828" w:rsidRDefault="00473828" w:rsidP="00473828">
      <w:pPr>
        <w:tabs>
          <w:tab w:val="left" w:pos="8610"/>
        </w:tabs>
        <w:spacing w:line="480" w:lineRule="auto"/>
        <w:jc w:val="center"/>
        <w:rPr>
          <w:rFonts w:ascii="Times New Roman" w:hAnsi="Times New Roman" w:cs="Times New Roman"/>
          <w:b/>
          <w:sz w:val="24"/>
          <w:szCs w:val="24"/>
        </w:rPr>
      </w:pPr>
      <w:r w:rsidRPr="00473828">
        <w:rPr>
          <w:rFonts w:ascii="Times New Roman" w:hAnsi="Times New Roman" w:cs="Times New Roman"/>
          <w:b/>
          <w:sz w:val="24"/>
          <w:szCs w:val="24"/>
        </w:rPr>
        <w:t>Table 1: Efficiency and Volatility Studies</w:t>
      </w:r>
    </w:p>
    <w:tbl>
      <w:tblPr>
        <w:tblStyle w:val="GridTable1Light"/>
        <w:tblW w:w="9473" w:type="dxa"/>
        <w:tblLook w:val="0420"/>
      </w:tblPr>
      <w:tblGrid>
        <w:gridCol w:w="2045"/>
        <w:gridCol w:w="1358"/>
        <w:gridCol w:w="1330"/>
        <w:gridCol w:w="1795"/>
        <w:gridCol w:w="2945"/>
      </w:tblGrid>
      <w:tr w:rsidR="00473828" w:rsidRPr="00473828" w:rsidTr="00237143">
        <w:trPr>
          <w:cnfStyle w:val="100000000000"/>
          <w:trHeight w:val="604"/>
        </w:trPr>
        <w:tc>
          <w:tcPr>
            <w:tcW w:w="2045" w:type="dxa"/>
            <w:hideMark/>
          </w:tcPr>
          <w:p w:rsidR="00473828" w:rsidRPr="00473828" w:rsidRDefault="00473828" w:rsidP="00473828">
            <w:pPr>
              <w:tabs>
                <w:tab w:val="left" w:pos="8610"/>
              </w:tabs>
              <w:jc w:val="both"/>
              <w:rPr>
                <w:rFonts w:ascii="Times New Roman" w:hAnsi="Times New Roman" w:cs="Times New Roman"/>
                <w:szCs w:val="24"/>
              </w:rPr>
            </w:pPr>
            <w:r w:rsidRPr="00473828">
              <w:rPr>
                <w:rFonts w:ascii="Times New Roman" w:hAnsi="Times New Roman" w:cs="Times New Roman"/>
                <w:szCs w:val="24"/>
              </w:rPr>
              <w:t>Author(s) and Year</w:t>
            </w:r>
          </w:p>
        </w:tc>
        <w:tc>
          <w:tcPr>
            <w:tcW w:w="1358" w:type="dxa"/>
            <w:hideMark/>
          </w:tcPr>
          <w:p w:rsidR="00473828" w:rsidRPr="00473828" w:rsidRDefault="00473828" w:rsidP="00473828">
            <w:pPr>
              <w:tabs>
                <w:tab w:val="left" w:pos="8610"/>
              </w:tabs>
              <w:jc w:val="both"/>
              <w:rPr>
                <w:rFonts w:ascii="Times New Roman" w:hAnsi="Times New Roman" w:cs="Times New Roman"/>
                <w:szCs w:val="24"/>
              </w:rPr>
            </w:pPr>
            <w:r w:rsidRPr="00473828">
              <w:rPr>
                <w:rFonts w:ascii="Times New Roman" w:hAnsi="Times New Roman" w:cs="Times New Roman"/>
                <w:szCs w:val="24"/>
              </w:rPr>
              <w:t>Sample</w:t>
            </w:r>
          </w:p>
        </w:tc>
        <w:tc>
          <w:tcPr>
            <w:tcW w:w="1330" w:type="dxa"/>
            <w:hideMark/>
          </w:tcPr>
          <w:p w:rsidR="00473828" w:rsidRPr="00473828" w:rsidRDefault="00473828" w:rsidP="00473828">
            <w:pPr>
              <w:tabs>
                <w:tab w:val="left" w:pos="8610"/>
              </w:tabs>
              <w:jc w:val="both"/>
              <w:rPr>
                <w:rFonts w:ascii="Times New Roman" w:hAnsi="Times New Roman" w:cs="Times New Roman"/>
                <w:szCs w:val="24"/>
              </w:rPr>
            </w:pPr>
            <w:r w:rsidRPr="00473828">
              <w:rPr>
                <w:rFonts w:ascii="Times New Roman" w:hAnsi="Times New Roman" w:cs="Times New Roman"/>
                <w:szCs w:val="24"/>
              </w:rPr>
              <w:t>Variable</w:t>
            </w:r>
          </w:p>
        </w:tc>
        <w:tc>
          <w:tcPr>
            <w:tcW w:w="1795" w:type="dxa"/>
            <w:hideMark/>
          </w:tcPr>
          <w:p w:rsidR="00473828" w:rsidRPr="00473828" w:rsidRDefault="00473828" w:rsidP="00473828">
            <w:pPr>
              <w:tabs>
                <w:tab w:val="left" w:pos="8610"/>
              </w:tabs>
              <w:jc w:val="both"/>
              <w:rPr>
                <w:rFonts w:ascii="Times New Roman" w:hAnsi="Times New Roman" w:cs="Times New Roman"/>
                <w:szCs w:val="24"/>
              </w:rPr>
            </w:pPr>
            <w:r w:rsidRPr="00473828">
              <w:rPr>
                <w:rFonts w:ascii="Times New Roman" w:hAnsi="Times New Roman" w:cs="Times New Roman"/>
                <w:szCs w:val="24"/>
              </w:rPr>
              <w:t>Methodology</w:t>
            </w:r>
          </w:p>
        </w:tc>
        <w:tc>
          <w:tcPr>
            <w:tcW w:w="2945" w:type="dxa"/>
            <w:hideMark/>
          </w:tcPr>
          <w:p w:rsidR="00473828" w:rsidRPr="00473828" w:rsidRDefault="00473828" w:rsidP="00473828">
            <w:pPr>
              <w:tabs>
                <w:tab w:val="left" w:pos="8610"/>
              </w:tabs>
              <w:jc w:val="both"/>
              <w:rPr>
                <w:rFonts w:ascii="Times New Roman" w:hAnsi="Times New Roman" w:cs="Times New Roman"/>
                <w:szCs w:val="24"/>
              </w:rPr>
            </w:pPr>
            <w:r w:rsidRPr="00473828">
              <w:rPr>
                <w:rFonts w:ascii="Times New Roman" w:hAnsi="Times New Roman" w:cs="Times New Roman"/>
                <w:szCs w:val="24"/>
              </w:rPr>
              <w:t>Result</w:t>
            </w:r>
          </w:p>
        </w:tc>
      </w:tr>
      <w:tr w:rsidR="00473828" w:rsidRPr="00473828" w:rsidTr="00237143">
        <w:trPr>
          <w:trHeight w:val="228"/>
        </w:trPr>
        <w:tc>
          <w:tcPr>
            <w:tcW w:w="2045" w:type="dxa"/>
            <w:hideMark/>
          </w:tcPr>
          <w:p w:rsidR="00473828" w:rsidRPr="00473828" w:rsidRDefault="00473828" w:rsidP="00473828">
            <w:pPr>
              <w:tabs>
                <w:tab w:val="left" w:pos="8610"/>
              </w:tabs>
              <w:rPr>
                <w:rFonts w:ascii="Times New Roman" w:hAnsi="Times New Roman" w:cs="Times New Roman"/>
                <w:sz w:val="20"/>
                <w:szCs w:val="20"/>
              </w:rPr>
            </w:pPr>
            <w:r w:rsidRPr="00473828">
              <w:rPr>
                <w:rFonts w:ascii="Times New Roman" w:hAnsi="Times New Roman" w:cs="Times New Roman"/>
                <w:sz w:val="20"/>
                <w:szCs w:val="20"/>
              </w:rPr>
              <w:t>Malik and Shah (2017)</w:t>
            </w:r>
          </w:p>
        </w:tc>
        <w:tc>
          <w:tcPr>
            <w:tcW w:w="1358"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Karachi Stock Exchange</w:t>
            </w:r>
          </w:p>
        </w:tc>
        <w:tc>
          <w:tcPr>
            <w:tcW w:w="1330"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Stock Returns</w:t>
            </w:r>
          </w:p>
        </w:tc>
        <w:tc>
          <w:tcPr>
            <w:tcW w:w="1795"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GJR-GARCH</w:t>
            </w:r>
          </w:p>
        </w:tc>
        <w:tc>
          <w:tcPr>
            <w:tcW w:w="2945"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No significant impact on efficiency and volatility</w:t>
            </w:r>
          </w:p>
        </w:tc>
      </w:tr>
      <w:tr w:rsidR="00473828" w:rsidRPr="00473828" w:rsidTr="00237143">
        <w:trPr>
          <w:trHeight w:val="143"/>
        </w:trPr>
        <w:tc>
          <w:tcPr>
            <w:tcW w:w="2045" w:type="dxa"/>
            <w:hideMark/>
          </w:tcPr>
          <w:p w:rsidR="00473828" w:rsidRPr="00473828" w:rsidRDefault="00473828" w:rsidP="00473828">
            <w:pPr>
              <w:tabs>
                <w:tab w:val="left" w:pos="8610"/>
              </w:tabs>
              <w:rPr>
                <w:rFonts w:ascii="Times New Roman" w:hAnsi="Times New Roman" w:cs="Times New Roman"/>
                <w:sz w:val="20"/>
                <w:szCs w:val="20"/>
              </w:rPr>
            </w:pPr>
            <w:r w:rsidRPr="00473828">
              <w:rPr>
                <w:rFonts w:ascii="Times New Roman" w:hAnsi="Times New Roman" w:cs="Times New Roman"/>
                <w:sz w:val="20"/>
                <w:szCs w:val="20"/>
              </w:rPr>
              <w:lastRenderedPageBreak/>
              <w:t>Gahlot and Datta (2011)</w:t>
            </w:r>
          </w:p>
        </w:tc>
        <w:tc>
          <w:tcPr>
            <w:tcW w:w="1358"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Indian Stock Exchange</w:t>
            </w:r>
          </w:p>
        </w:tc>
        <w:tc>
          <w:tcPr>
            <w:tcW w:w="1330"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Stock Returns</w:t>
            </w:r>
          </w:p>
        </w:tc>
        <w:tc>
          <w:tcPr>
            <w:tcW w:w="1795"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EGARCH</w:t>
            </w:r>
          </w:p>
        </w:tc>
        <w:tc>
          <w:tcPr>
            <w:tcW w:w="2945"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Inefficient market and insignificant increase in volatility</w:t>
            </w:r>
          </w:p>
        </w:tc>
      </w:tr>
      <w:tr w:rsidR="00473828" w:rsidRPr="00473828" w:rsidTr="00237143">
        <w:trPr>
          <w:trHeight w:val="136"/>
        </w:trPr>
        <w:tc>
          <w:tcPr>
            <w:tcW w:w="2045" w:type="dxa"/>
            <w:hideMark/>
          </w:tcPr>
          <w:p w:rsidR="00473828" w:rsidRPr="00473828" w:rsidRDefault="00473828" w:rsidP="00473828">
            <w:pPr>
              <w:tabs>
                <w:tab w:val="left" w:pos="8610"/>
              </w:tabs>
              <w:rPr>
                <w:rFonts w:ascii="Times New Roman" w:hAnsi="Times New Roman" w:cs="Times New Roman"/>
                <w:sz w:val="20"/>
                <w:szCs w:val="20"/>
              </w:rPr>
            </w:pPr>
            <w:r w:rsidRPr="00473828">
              <w:rPr>
                <w:rFonts w:ascii="Times New Roman" w:hAnsi="Times New Roman" w:cs="Times New Roman"/>
                <w:sz w:val="20"/>
                <w:szCs w:val="20"/>
              </w:rPr>
              <w:t>Khan and Hijazi (2009)</w:t>
            </w:r>
          </w:p>
        </w:tc>
        <w:tc>
          <w:tcPr>
            <w:tcW w:w="1358"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Karachi Stock Exchange</w:t>
            </w:r>
          </w:p>
        </w:tc>
        <w:tc>
          <w:tcPr>
            <w:tcW w:w="1330"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Stock Returns</w:t>
            </w:r>
          </w:p>
        </w:tc>
        <w:tc>
          <w:tcPr>
            <w:tcW w:w="1795"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Regression</w:t>
            </w:r>
          </w:p>
        </w:tc>
        <w:tc>
          <w:tcPr>
            <w:tcW w:w="2945"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Reduced volatility</w:t>
            </w:r>
          </w:p>
        </w:tc>
      </w:tr>
      <w:tr w:rsidR="00473828" w:rsidRPr="00473828" w:rsidTr="00237143">
        <w:trPr>
          <w:trHeight w:val="136"/>
        </w:trPr>
        <w:tc>
          <w:tcPr>
            <w:tcW w:w="2045" w:type="dxa"/>
            <w:hideMark/>
          </w:tcPr>
          <w:p w:rsidR="00473828" w:rsidRPr="00473828" w:rsidRDefault="00473828" w:rsidP="00473828">
            <w:pPr>
              <w:tabs>
                <w:tab w:val="left" w:pos="8610"/>
              </w:tabs>
              <w:rPr>
                <w:rFonts w:ascii="Times New Roman" w:hAnsi="Times New Roman" w:cs="Times New Roman"/>
                <w:sz w:val="20"/>
                <w:szCs w:val="20"/>
              </w:rPr>
            </w:pPr>
            <w:r w:rsidRPr="00473828">
              <w:rPr>
                <w:rFonts w:ascii="Times New Roman" w:hAnsi="Times New Roman" w:cs="Times New Roman"/>
                <w:sz w:val="20"/>
                <w:szCs w:val="20"/>
              </w:rPr>
              <w:t>Drimbetas, Sariannidis and Porfiris (2007)</w:t>
            </w:r>
          </w:p>
        </w:tc>
        <w:tc>
          <w:tcPr>
            <w:tcW w:w="1358"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Greek Stock Exchange</w:t>
            </w:r>
          </w:p>
        </w:tc>
        <w:tc>
          <w:tcPr>
            <w:tcW w:w="1330"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Stock returns</w:t>
            </w:r>
          </w:p>
        </w:tc>
        <w:tc>
          <w:tcPr>
            <w:tcW w:w="1795"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EGARCH</w:t>
            </w:r>
          </w:p>
        </w:tc>
        <w:tc>
          <w:tcPr>
            <w:tcW w:w="2945"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Improved informational efficiency, reduced volatility</w:t>
            </w:r>
          </w:p>
        </w:tc>
      </w:tr>
      <w:tr w:rsidR="00473828" w:rsidRPr="00473828" w:rsidTr="00237143">
        <w:trPr>
          <w:trHeight w:val="138"/>
        </w:trPr>
        <w:tc>
          <w:tcPr>
            <w:tcW w:w="2045" w:type="dxa"/>
            <w:hideMark/>
          </w:tcPr>
          <w:p w:rsidR="00473828" w:rsidRPr="00473828" w:rsidRDefault="00473828" w:rsidP="00473828">
            <w:pPr>
              <w:tabs>
                <w:tab w:val="left" w:pos="8610"/>
              </w:tabs>
              <w:rPr>
                <w:rFonts w:ascii="Times New Roman" w:hAnsi="Times New Roman" w:cs="Times New Roman"/>
                <w:sz w:val="20"/>
                <w:szCs w:val="20"/>
              </w:rPr>
            </w:pPr>
            <w:r w:rsidRPr="00473828">
              <w:rPr>
                <w:rFonts w:ascii="Times New Roman" w:hAnsi="Times New Roman" w:cs="Times New Roman"/>
                <w:sz w:val="20"/>
                <w:szCs w:val="20"/>
              </w:rPr>
              <w:t xml:space="preserve">Zhong, Darrat and Otero (2004) </w:t>
            </w:r>
          </w:p>
        </w:tc>
        <w:tc>
          <w:tcPr>
            <w:tcW w:w="1358"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Mexican Stock Index</w:t>
            </w:r>
          </w:p>
        </w:tc>
        <w:tc>
          <w:tcPr>
            <w:tcW w:w="1330"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Stock Returns</w:t>
            </w:r>
          </w:p>
        </w:tc>
        <w:tc>
          <w:tcPr>
            <w:tcW w:w="1795"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EGARCH</w:t>
            </w:r>
          </w:p>
        </w:tc>
        <w:tc>
          <w:tcPr>
            <w:tcW w:w="2945" w:type="dxa"/>
            <w:hideMark/>
          </w:tcPr>
          <w:p w:rsidR="00473828" w:rsidRPr="00473828" w:rsidRDefault="00473828" w:rsidP="00473828">
            <w:pPr>
              <w:tabs>
                <w:tab w:val="left" w:pos="8610"/>
              </w:tabs>
              <w:jc w:val="both"/>
              <w:rPr>
                <w:rFonts w:ascii="Times New Roman" w:hAnsi="Times New Roman" w:cs="Times New Roman"/>
                <w:sz w:val="20"/>
                <w:szCs w:val="20"/>
              </w:rPr>
            </w:pPr>
            <w:r w:rsidRPr="00473828">
              <w:rPr>
                <w:rFonts w:ascii="Times New Roman" w:hAnsi="Times New Roman" w:cs="Times New Roman"/>
                <w:sz w:val="20"/>
                <w:szCs w:val="20"/>
              </w:rPr>
              <w:t>Useful in price discovery, Increased volatility</w:t>
            </w:r>
          </w:p>
        </w:tc>
      </w:tr>
      <w:tr w:rsidR="00473828" w:rsidRPr="00473828" w:rsidTr="00237143">
        <w:trPr>
          <w:trHeight w:val="138"/>
        </w:trPr>
        <w:tc>
          <w:tcPr>
            <w:tcW w:w="204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Bae, Kwon and Park (2004)</w:t>
            </w:r>
          </w:p>
        </w:tc>
        <w:tc>
          <w:tcPr>
            <w:tcW w:w="1358"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Korea Stock Exchange</w:t>
            </w:r>
          </w:p>
        </w:tc>
        <w:tc>
          <w:tcPr>
            <w:tcW w:w="1330"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Stock returns</w:t>
            </w:r>
          </w:p>
        </w:tc>
        <w:tc>
          <w:tcPr>
            <w:tcW w:w="179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Regression</w:t>
            </w:r>
          </w:p>
        </w:tc>
        <w:tc>
          <w:tcPr>
            <w:tcW w:w="294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Increased market efficiency, Efficient price adjustments, increased Volatility</w:t>
            </w:r>
          </w:p>
        </w:tc>
      </w:tr>
      <w:tr w:rsidR="00473828" w:rsidRPr="00473828" w:rsidTr="00237143">
        <w:trPr>
          <w:trHeight w:val="138"/>
        </w:trPr>
        <w:tc>
          <w:tcPr>
            <w:tcW w:w="204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Illueca and Lafuente (2003)</w:t>
            </w:r>
          </w:p>
        </w:tc>
        <w:tc>
          <w:tcPr>
            <w:tcW w:w="1358"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Spanish stock index futures</w:t>
            </w:r>
          </w:p>
        </w:tc>
        <w:tc>
          <w:tcPr>
            <w:tcW w:w="1330"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Stock Returns</w:t>
            </w:r>
          </w:p>
        </w:tc>
        <w:tc>
          <w:tcPr>
            <w:tcW w:w="179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GARCH</w:t>
            </w:r>
          </w:p>
        </w:tc>
        <w:tc>
          <w:tcPr>
            <w:tcW w:w="294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No impact on volatility and no destabilizing effect on market</w:t>
            </w:r>
          </w:p>
        </w:tc>
      </w:tr>
      <w:tr w:rsidR="00473828" w:rsidRPr="00473828" w:rsidTr="00237143">
        <w:trPr>
          <w:trHeight w:val="138"/>
        </w:trPr>
        <w:tc>
          <w:tcPr>
            <w:tcW w:w="204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Thenmozhi (2002)</w:t>
            </w:r>
          </w:p>
        </w:tc>
        <w:tc>
          <w:tcPr>
            <w:tcW w:w="1358"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NSE India</w:t>
            </w:r>
          </w:p>
        </w:tc>
        <w:tc>
          <w:tcPr>
            <w:tcW w:w="1330"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Stock returns</w:t>
            </w:r>
          </w:p>
        </w:tc>
        <w:tc>
          <w:tcPr>
            <w:tcW w:w="179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Regression</w:t>
            </w:r>
          </w:p>
        </w:tc>
        <w:tc>
          <w:tcPr>
            <w:tcW w:w="294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Increased flow of information, reduced volatility</w:t>
            </w:r>
          </w:p>
        </w:tc>
      </w:tr>
      <w:tr w:rsidR="00473828" w:rsidRPr="00473828" w:rsidTr="00237143">
        <w:trPr>
          <w:trHeight w:val="138"/>
        </w:trPr>
        <w:tc>
          <w:tcPr>
            <w:tcW w:w="204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Antoniou and Holmes (1995)</w:t>
            </w:r>
          </w:p>
        </w:tc>
        <w:tc>
          <w:tcPr>
            <w:tcW w:w="1358"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London Stock Exchange</w:t>
            </w:r>
          </w:p>
        </w:tc>
        <w:tc>
          <w:tcPr>
            <w:tcW w:w="1330"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Stock Returns</w:t>
            </w:r>
          </w:p>
        </w:tc>
        <w:tc>
          <w:tcPr>
            <w:tcW w:w="179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GARCH</w:t>
            </w:r>
          </w:p>
        </w:tc>
        <w:tc>
          <w:tcPr>
            <w:tcW w:w="294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Increased efficiency, increased volatility</w:t>
            </w:r>
          </w:p>
        </w:tc>
      </w:tr>
      <w:tr w:rsidR="00473828" w:rsidRPr="00473828" w:rsidTr="00237143">
        <w:trPr>
          <w:trHeight w:val="138"/>
        </w:trPr>
        <w:tc>
          <w:tcPr>
            <w:tcW w:w="204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Lee and Ohk (1992)</w:t>
            </w:r>
          </w:p>
        </w:tc>
        <w:tc>
          <w:tcPr>
            <w:tcW w:w="1358"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 xml:space="preserve">Sydney, Hong Kong, Tokyo, London and New York </w:t>
            </w:r>
          </w:p>
        </w:tc>
        <w:tc>
          <w:tcPr>
            <w:tcW w:w="1330"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Stock returns</w:t>
            </w:r>
          </w:p>
        </w:tc>
        <w:tc>
          <w:tcPr>
            <w:tcW w:w="179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GARCH</w:t>
            </w:r>
          </w:p>
        </w:tc>
        <w:tc>
          <w:tcPr>
            <w:tcW w:w="294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Increased Market Efficiency, Increased volatility</w:t>
            </w:r>
          </w:p>
        </w:tc>
      </w:tr>
      <w:tr w:rsidR="00473828" w:rsidRPr="00473828" w:rsidTr="00237143">
        <w:trPr>
          <w:trHeight w:val="138"/>
        </w:trPr>
        <w:tc>
          <w:tcPr>
            <w:tcW w:w="204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Haris (1989)</w:t>
            </w:r>
          </w:p>
        </w:tc>
        <w:tc>
          <w:tcPr>
            <w:tcW w:w="1358"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S&amp;P 500</w:t>
            </w:r>
          </w:p>
        </w:tc>
        <w:tc>
          <w:tcPr>
            <w:tcW w:w="1330"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Stock Returns</w:t>
            </w:r>
          </w:p>
        </w:tc>
        <w:tc>
          <w:tcPr>
            <w:tcW w:w="179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Regression</w:t>
            </w:r>
          </w:p>
        </w:tc>
        <w:tc>
          <w:tcPr>
            <w:tcW w:w="2945" w:type="dxa"/>
            <w:hideMark/>
          </w:tcPr>
          <w:p w:rsidR="00473828" w:rsidRPr="00473828" w:rsidRDefault="00473828" w:rsidP="00473828">
            <w:pPr>
              <w:tabs>
                <w:tab w:val="left" w:pos="8610"/>
              </w:tabs>
              <w:jc w:val="both"/>
              <w:rPr>
                <w:rFonts w:ascii="Times New Roman" w:hAnsi="Times New Roman" w:cs="Times New Roman"/>
                <w:sz w:val="20"/>
                <w:szCs w:val="24"/>
              </w:rPr>
            </w:pPr>
            <w:r w:rsidRPr="00473828">
              <w:rPr>
                <w:rFonts w:ascii="Times New Roman" w:hAnsi="Times New Roman" w:cs="Times New Roman"/>
                <w:sz w:val="20"/>
                <w:szCs w:val="24"/>
              </w:rPr>
              <w:t>Increased volatility</w:t>
            </w:r>
          </w:p>
        </w:tc>
      </w:tr>
    </w:tbl>
    <w:p w:rsidR="00F57BD3" w:rsidRDefault="00F57BD3" w:rsidP="00210180">
      <w:pPr>
        <w:pStyle w:val="Heading1"/>
        <w:spacing w:after="240"/>
        <w:jc w:val="both"/>
        <w:rPr>
          <w:rFonts w:ascii="Times New Roman" w:hAnsi="Times New Roman" w:cs="Times New Roman"/>
          <w:b/>
          <w:color w:val="auto"/>
          <w:sz w:val="28"/>
        </w:rPr>
      </w:pPr>
      <w:bookmarkStart w:id="7" w:name="_Toc520219893"/>
    </w:p>
    <w:p w:rsidR="007C70BE" w:rsidRDefault="007C70BE" w:rsidP="007C70BE"/>
    <w:p w:rsidR="007C70BE" w:rsidRDefault="007C70BE" w:rsidP="007C70BE"/>
    <w:p w:rsidR="007C70BE" w:rsidRDefault="007C70BE" w:rsidP="007C70BE"/>
    <w:p w:rsidR="007C70BE" w:rsidRDefault="007C70BE" w:rsidP="007C70BE"/>
    <w:p w:rsidR="007C70BE" w:rsidRDefault="007C70BE" w:rsidP="007C70BE"/>
    <w:p w:rsidR="007C70BE" w:rsidRDefault="007C70BE" w:rsidP="007C70BE"/>
    <w:p w:rsidR="007C70BE" w:rsidRPr="007C70BE" w:rsidRDefault="007C70BE" w:rsidP="007C70BE"/>
    <w:p w:rsidR="00473828" w:rsidRPr="00210180" w:rsidRDefault="00473828" w:rsidP="00210180">
      <w:pPr>
        <w:pStyle w:val="Heading1"/>
        <w:spacing w:after="240"/>
        <w:jc w:val="both"/>
        <w:rPr>
          <w:rFonts w:ascii="Times New Roman" w:hAnsi="Times New Roman" w:cs="Times New Roman"/>
          <w:b/>
          <w:color w:val="auto"/>
          <w:sz w:val="28"/>
        </w:rPr>
      </w:pPr>
      <w:r w:rsidRPr="00210180">
        <w:rPr>
          <w:rFonts w:ascii="Times New Roman" w:hAnsi="Times New Roman" w:cs="Times New Roman"/>
          <w:b/>
          <w:color w:val="auto"/>
          <w:sz w:val="28"/>
        </w:rPr>
        <w:t>Chapter 3: Methodology</w:t>
      </w:r>
      <w:bookmarkEnd w:id="7"/>
    </w:p>
    <w:p w:rsidR="00473828" w:rsidRPr="00210180" w:rsidRDefault="00473828" w:rsidP="00210180">
      <w:pPr>
        <w:pStyle w:val="Heading2"/>
        <w:spacing w:after="240"/>
        <w:jc w:val="both"/>
        <w:rPr>
          <w:rFonts w:ascii="Times New Roman" w:hAnsi="Times New Roman" w:cs="Times New Roman"/>
          <w:b/>
          <w:color w:val="auto"/>
          <w:sz w:val="24"/>
        </w:rPr>
      </w:pPr>
      <w:bookmarkStart w:id="8" w:name="_Toc520219894"/>
      <w:r w:rsidRPr="00210180">
        <w:rPr>
          <w:rFonts w:ascii="Times New Roman" w:hAnsi="Times New Roman" w:cs="Times New Roman"/>
          <w:b/>
          <w:color w:val="auto"/>
          <w:sz w:val="24"/>
        </w:rPr>
        <w:t>3.1 Data</w:t>
      </w:r>
      <w:bookmarkEnd w:id="8"/>
    </w:p>
    <w:p w:rsidR="00473828" w:rsidRPr="00473828" w:rsidRDefault="00473828" w:rsidP="00473828">
      <w:pPr>
        <w:autoSpaceDE w:val="0"/>
        <w:autoSpaceDN w:val="0"/>
        <w:adjustRightInd w:val="0"/>
        <w:spacing w:after="0" w:line="480" w:lineRule="auto"/>
        <w:jc w:val="both"/>
        <w:rPr>
          <w:rFonts w:ascii="Times New Roman" w:hAnsi="Times New Roman" w:cs="Times New Roman"/>
          <w:sz w:val="24"/>
          <w:szCs w:val="24"/>
        </w:rPr>
      </w:pPr>
      <w:r w:rsidRPr="00473828">
        <w:rPr>
          <w:rFonts w:ascii="Times New Roman" w:hAnsi="Times New Roman" w:cs="Times New Roman"/>
          <w:sz w:val="24"/>
          <w:szCs w:val="24"/>
        </w:rPr>
        <w:t>Pakistan Stock Exchange (PSX) makes use of Karachi Automated Trading System for futures trading. The criteria for futures contracts in Pakistan is given in Table 1</w:t>
      </w:r>
    </w:p>
    <w:p w:rsidR="00473828" w:rsidRPr="00473828" w:rsidRDefault="00473828" w:rsidP="00473828">
      <w:pPr>
        <w:autoSpaceDE w:val="0"/>
        <w:autoSpaceDN w:val="0"/>
        <w:adjustRightInd w:val="0"/>
        <w:spacing w:after="0" w:line="480" w:lineRule="auto"/>
        <w:jc w:val="both"/>
        <w:rPr>
          <w:rFonts w:ascii="Times New Roman" w:hAnsi="Times New Roman" w:cs="Times New Roman"/>
          <w:b/>
          <w:sz w:val="24"/>
          <w:szCs w:val="24"/>
        </w:rPr>
      </w:pPr>
      <w:r w:rsidRPr="00473828">
        <w:rPr>
          <w:rFonts w:ascii="Times New Roman" w:hAnsi="Times New Roman" w:cs="Times New Roman"/>
          <w:b/>
          <w:sz w:val="24"/>
          <w:szCs w:val="24"/>
        </w:rPr>
        <w:t>Table 2: Particulars of Futures contracts</w:t>
      </w:r>
    </w:p>
    <w:tbl>
      <w:tblPr>
        <w:tblStyle w:val="GridTable1Light"/>
        <w:tblW w:w="8869" w:type="dxa"/>
        <w:tblLook w:val="0420"/>
      </w:tblPr>
      <w:tblGrid>
        <w:gridCol w:w="2428"/>
        <w:gridCol w:w="6441"/>
      </w:tblGrid>
      <w:tr w:rsidR="00473828" w:rsidRPr="00473828" w:rsidTr="00237143">
        <w:trPr>
          <w:cnfStyle w:val="100000000000"/>
          <w:trHeight w:val="232"/>
        </w:trPr>
        <w:tc>
          <w:tcPr>
            <w:tcW w:w="2428" w:type="dxa"/>
            <w:hideMark/>
          </w:tcPr>
          <w:p w:rsidR="00473828" w:rsidRPr="00473828" w:rsidRDefault="00473828" w:rsidP="00473828">
            <w:pPr>
              <w:spacing w:line="276" w:lineRule="auto"/>
              <w:rPr>
                <w:rFonts w:ascii="Times New Roman" w:eastAsia="Times New Roman" w:hAnsi="Times New Roman" w:cs="Times New Roman"/>
                <w:sz w:val="24"/>
                <w:szCs w:val="24"/>
              </w:rPr>
            </w:pPr>
          </w:p>
        </w:tc>
        <w:tc>
          <w:tcPr>
            <w:tcW w:w="6441" w:type="dxa"/>
            <w:hideMark/>
          </w:tcPr>
          <w:p w:rsidR="00473828" w:rsidRPr="00473828" w:rsidRDefault="00473828" w:rsidP="00473828">
            <w:pPr>
              <w:spacing w:line="276" w:lineRule="auto"/>
              <w:rPr>
                <w:rFonts w:ascii="Times New Roman" w:eastAsia="Times New Roman" w:hAnsi="Times New Roman" w:cs="Times New Roman"/>
                <w:sz w:val="20"/>
                <w:szCs w:val="20"/>
              </w:rPr>
            </w:pPr>
          </w:p>
        </w:tc>
      </w:tr>
      <w:tr w:rsidR="00473828" w:rsidRPr="00473828" w:rsidTr="00237143">
        <w:trPr>
          <w:trHeight w:val="274"/>
        </w:trPr>
        <w:tc>
          <w:tcPr>
            <w:tcW w:w="2428" w:type="dxa"/>
            <w:hideMark/>
          </w:tcPr>
          <w:p w:rsidR="00473828" w:rsidRPr="00473828" w:rsidRDefault="00473828" w:rsidP="00473828">
            <w:pPr>
              <w:spacing w:line="276" w:lineRule="auto"/>
              <w:rPr>
                <w:rFonts w:ascii="Arial" w:eastAsia="Times New Roman" w:hAnsi="Arial" w:cs="Arial"/>
                <w:sz w:val="24"/>
                <w:szCs w:val="24"/>
              </w:rPr>
            </w:pPr>
            <w:r w:rsidRPr="00473828">
              <w:rPr>
                <w:rFonts w:ascii="Times New Roman" w:eastAsia="Times New Roman" w:hAnsi="Times New Roman" w:cs="Times New Roman"/>
                <w:color w:val="000000" w:themeColor="dark1"/>
                <w:kern w:val="24"/>
                <w:sz w:val="24"/>
                <w:szCs w:val="24"/>
              </w:rPr>
              <w:t>Contract period</w:t>
            </w:r>
          </w:p>
        </w:tc>
        <w:tc>
          <w:tcPr>
            <w:tcW w:w="6441" w:type="dxa"/>
            <w:hideMark/>
          </w:tcPr>
          <w:p w:rsidR="00473828" w:rsidRPr="00473828" w:rsidRDefault="008E7A11" w:rsidP="00473828">
            <w:pPr>
              <w:spacing w:line="276" w:lineRule="auto"/>
              <w:rPr>
                <w:rFonts w:ascii="Arial" w:eastAsia="Times New Roman" w:hAnsi="Arial" w:cs="Arial"/>
                <w:sz w:val="24"/>
                <w:szCs w:val="24"/>
              </w:rPr>
            </w:pPr>
            <w:r>
              <w:rPr>
                <w:rFonts w:ascii="Times New Roman" w:eastAsia="Times New Roman" w:hAnsi="Times New Roman" w:cs="Times New Roman"/>
                <w:color w:val="000000" w:themeColor="dark1"/>
                <w:kern w:val="24"/>
                <w:sz w:val="24"/>
                <w:szCs w:val="24"/>
              </w:rPr>
              <w:t>90, 30 or 7 days</w:t>
            </w:r>
          </w:p>
        </w:tc>
      </w:tr>
      <w:tr w:rsidR="00473828" w:rsidRPr="00473828" w:rsidTr="00237143">
        <w:trPr>
          <w:trHeight w:val="257"/>
        </w:trPr>
        <w:tc>
          <w:tcPr>
            <w:tcW w:w="2428" w:type="dxa"/>
            <w:hideMark/>
          </w:tcPr>
          <w:p w:rsidR="00473828" w:rsidRPr="00473828" w:rsidRDefault="00473828" w:rsidP="00473828">
            <w:pPr>
              <w:spacing w:line="276" w:lineRule="auto"/>
              <w:rPr>
                <w:rFonts w:ascii="Arial" w:eastAsia="Times New Roman" w:hAnsi="Arial" w:cs="Arial"/>
                <w:sz w:val="24"/>
                <w:szCs w:val="24"/>
              </w:rPr>
            </w:pPr>
            <w:r w:rsidRPr="00473828">
              <w:rPr>
                <w:rFonts w:ascii="Times New Roman" w:eastAsia="Times New Roman" w:hAnsi="Times New Roman" w:cs="Times New Roman"/>
                <w:color w:val="000000" w:themeColor="dark1"/>
                <w:kern w:val="24"/>
                <w:sz w:val="24"/>
                <w:szCs w:val="24"/>
              </w:rPr>
              <w:t>Contract Size</w:t>
            </w:r>
          </w:p>
        </w:tc>
        <w:tc>
          <w:tcPr>
            <w:tcW w:w="6441" w:type="dxa"/>
            <w:hideMark/>
          </w:tcPr>
          <w:p w:rsidR="00473828" w:rsidRPr="00473828" w:rsidRDefault="00473828" w:rsidP="00473828">
            <w:pPr>
              <w:spacing w:line="276" w:lineRule="auto"/>
              <w:rPr>
                <w:rFonts w:ascii="Arial" w:eastAsia="Times New Roman" w:hAnsi="Arial" w:cs="Arial"/>
                <w:sz w:val="24"/>
                <w:szCs w:val="24"/>
              </w:rPr>
            </w:pPr>
            <w:r w:rsidRPr="00473828">
              <w:rPr>
                <w:rFonts w:ascii="Times New Roman" w:eastAsia="Times New Roman" w:hAnsi="Times New Roman" w:cs="Times New Roman"/>
                <w:color w:val="000000" w:themeColor="dark1"/>
                <w:kern w:val="24"/>
                <w:sz w:val="24"/>
                <w:szCs w:val="24"/>
              </w:rPr>
              <w:t>500 shares</w:t>
            </w:r>
          </w:p>
        </w:tc>
      </w:tr>
      <w:tr w:rsidR="00473828" w:rsidRPr="00473828" w:rsidTr="00237143">
        <w:trPr>
          <w:trHeight w:val="580"/>
        </w:trPr>
        <w:tc>
          <w:tcPr>
            <w:tcW w:w="2428" w:type="dxa"/>
            <w:hideMark/>
          </w:tcPr>
          <w:p w:rsidR="00473828" w:rsidRPr="00473828" w:rsidRDefault="00473828" w:rsidP="00473828">
            <w:pPr>
              <w:spacing w:line="276" w:lineRule="auto"/>
              <w:rPr>
                <w:rFonts w:ascii="Arial" w:eastAsia="Times New Roman" w:hAnsi="Arial" w:cs="Arial"/>
                <w:sz w:val="24"/>
                <w:szCs w:val="24"/>
              </w:rPr>
            </w:pPr>
            <w:r w:rsidRPr="00473828">
              <w:rPr>
                <w:rFonts w:ascii="Times New Roman" w:eastAsia="Times New Roman" w:hAnsi="Times New Roman" w:cs="Times New Roman"/>
                <w:color w:val="000000" w:themeColor="dark1"/>
                <w:kern w:val="24"/>
                <w:sz w:val="24"/>
                <w:szCs w:val="24"/>
              </w:rPr>
              <w:t>Opening of Contract</w:t>
            </w:r>
          </w:p>
        </w:tc>
        <w:tc>
          <w:tcPr>
            <w:tcW w:w="6441" w:type="dxa"/>
            <w:hideMark/>
          </w:tcPr>
          <w:p w:rsidR="00473828" w:rsidRPr="00473828" w:rsidRDefault="008E7A11" w:rsidP="00A951D3">
            <w:pPr>
              <w:spacing w:line="276" w:lineRule="auto"/>
              <w:rPr>
                <w:rFonts w:ascii="Arial" w:eastAsia="Times New Roman" w:hAnsi="Arial" w:cs="Arial"/>
                <w:sz w:val="24"/>
                <w:szCs w:val="24"/>
              </w:rPr>
            </w:pPr>
            <w:r w:rsidRPr="008E7A11">
              <w:rPr>
                <w:rFonts w:ascii="Times New Roman" w:eastAsia="Times New Roman" w:hAnsi="Times New Roman" w:cs="Times New Roman"/>
                <w:color w:val="000000" w:themeColor="dark1"/>
                <w:kern w:val="24"/>
                <w:sz w:val="24"/>
                <w:szCs w:val="24"/>
              </w:rPr>
              <w:t>First trading day of the next week following the close of the contract</w:t>
            </w:r>
          </w:p>
        </w:tc>
      </w:tr>
      <w:tr w:rsidR="00473828" w:rsidRPr="00473828" w:rsidTr="00237143">
        <w:trPr>
          <w:trHeight w:val="406"/>
        </w:trPr>
        <w:tc>
          <w:tcPr>
            <w:tcW w:w="2428" w:type="dxa"/>
            <w:hideMark/>
          </w:tcPr>
          <w:p w:rsidR="00473828" w:rsidRPr="00473828" w:rsidRDefault="00473828" w:rsidP="00473828">
            <w:pPr>
              <w:spacing w:line="276" w:lineRule="auto"/>
              <w:rPr>
                <w:rFonts w:ascii="Arial" w:eastAsia="Times New Roman" w:hAnsi="Arial" w:cs="Arial"/>
                <w:sz w:val="24"/>
                <w:szCs w:val="24"/>
              </w:rPr>
            </w:pPr>
            <w:r w:rsidRPr="00473828">
              <w:rPr>
                <w:rFonts w:ascii="Times New Roman" w:eastAsia="Times New Roman" w:hAnsi="Times New Roman" w:cs="Times New Roman"/>
                <w:color w:val="000000" w:themeColor="dark1"/>
                <w:kern w:val="24"/>
                <w:sz w:val="24"/>
                <w:szCs w:val="24"/>
              </w:rPr>
              <w:t>Last Trading Day</w:t>
            </w:r>
          </w:p>
        </w:tc>
        <w:tc>
          <w:tcPr>
            <w:tcW w:w="6441" w:type="dxa"/>
            <w:hideMark/>
          </w:tcPr>
          <w:p w:rsidR="00473828" w:rsidRPr="00473828" w:rsidRDefault="008E7A11" w:rsidP="00100EB9">
            <w:pPr>
              <w:spacing w:line="276" w:lineRule="auto"/>
              <w:rPr>
                <w:rFonts w:ascii="Arial" w:eastAsia="Times New Roman" w:hAnsi="Arial" w:cs="Arial"/>
                <w:sz w:val="24"/>
                <w:szCs w:val="24"/>
              </w:rPr>
            </w:pPr>
            <w:r w:rsidRPr="008E7A11">
              <w:rPr>
                <w:rFonts w:ascii="Times New Roman" w:eastAsia="Times New Roman" w:hAnsi="Times New Roman" w:cs="Times New Roman"/>
                <w:color w:val="000000" w:themeColor="dark1"/>
                <w:kern w:val="24"/>
                <w:sz w:val="24"/>
                <w:szCs w:val="24"/>
              </w:rPr>
              <w:t>Last Friday of the calendar month/week, if Friday is not trading day, then immediately preceding trading day</w:t>
            </w:r>
          </w:p>
        </w:tc>
      </w:tr>
      <w:tr w:rsidR="00473828" w:rsidRPr="00473828" w:rsidTr="00237143">
        <w:trPr>
          <w:trHeight w:val="406"/>
        </w:trPr>
        <w:tc>
          <w:tcPr>
            <w:tcW w:w="2428" w:type="dxa"/>
            <w:hideMark/>
          </w:tcPr>
          <w:p w:rsidR="00473828" w:rsidRPr="00473828" w:rsidRDefault="00473828" w:rsidP="00473828">
            <w:pPr>
              <w:spacing w:line="276" w:lineRule="auto"/>
              <w:rPr>
                <w:rFonts w:ascii="Arial" w:eastAsia="Times New Roman" w:hAnsi="Arial" w:cs="Arial"/>
                <w:sz w:val="24"/>
                <w:szCs w:val="24"/>
              </w:rPr>
            </w:pPr>
            <w:r w:rsidRPr="00473828">
              <w:rPr>
                <w:rFonts w:ascii="Times New Roman" w:eastAsia="Times New Roman" w:hAnsi="Times New Roman" w:cs="Times New Roman"/>
                <w:color w:val="000000" w:themeColor="dark1"/>
                <w:kern w:val="24"/>
                <w:sz w:val="24"/>
                <w:szCs w:val="24"/>
              </w:rPr>
              <w:t>Settlement</w:t>
            </w:r>
          </w:p>
        </w:tc>
        <w:tc>
          <w:tcPr>
            <w:tcW w:w="6441" w:type="dxa"/>
            <w:hideMark/>
          </w:tcPr>
          <w:p w:rsidR="00473828" w:rsidRPr="00473828" w:rsidRDefault="008E7A11" w:rsidP="00EB702A">
            <w:pPr>
              <w:spacing w:line="276" w:lineRule="auto"/>
              <w:rPr>
                <w:rFonts w:ascii="Arial" w:eastAsia="Times New Roman" w:hAnsi="Arial" w:cs="Arial"/>
                <w:sz w:val="24"/>
                <w:szCs w:val="24"/>
              </w:rPr>
            </w:pPr>
            <w:r w:rsidRPr="008E7A11">
              <w:rPr>
                <w:rFonts w:ascii="Times New Roman" w:eastAsia="Times New Roman" w:hAnsi="Times New Roman" w:cs="Times New Roman"/>
                <w:color w:val="000000" w:themeColor="dark1"/>
                <w:kern w:val="24"/>
                <w:sz w:val="24"/>
                <w:szCs w:val="24"/>
              </w:rPr>
              <w:t>Cash settlement on T+1 basis</w:t>
            </w:r>
          </w:p>
        </w:tc>
      </w:tr>
    </w:tbl>
    <w:p w:rsidR="00473828" w:rsidRPr="00473828" w:rsidRDefault="00473828" w:rsidP="00473828">
      <w:pPr>
        <w:autoSpaceDE w:val="0"/>
        <w:autoSpaceDN w:val="0"/>
        <w:adjustRightInd w:val="0"/>
        <w:spacing w:after="0" w:line="480" w:lineRule="auto"/>
        <w:jc w:val="both"/>
        <w:rPr>
          <w:rFonts w:ascii="Times New Roman" w:hAnsi="Times New Roman" w:cs="Times New Roman"/>
          <w:sz w:val="24"/>
          <w:szCs w:val="24"/>
        </w:rPr>
      </w:pPr>
    </w:p>
    <w:p w:rsidR="00473828" w:rsidRPr="00473828" w:rsidRDefault="00473828" w:rsidP="00473828">
      <w:pPr>
        <w:autoSpaceDE w:val="0"/>
        <w:autoSpaceDN w:val="0"/>
        <w:adjustRightInd w:val="0"/>
        <w:spacing w:after="0"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Since, Pakistan does not have any separate exchange for futures trading, so the contracts are settled through clearing house of Pakistan Stock Exchange. </w:t>
      </w:r>
      <w:r w:rsidR="00EB702A">
        <w:rPr>
          <w:rFonts w:ascii="Times New Roman" w:hAnsi="Times New Roman" w:cs="Times New Roman"/>
          <w:sz w:val="24"/>
          <w:szCs w:val="24"/>
        </w:rPr>
        <w:t>The size of futures</w:t>
      </w:r>
      <w:r w:rsidR="008F290A">
        <w:rPr>
          <w:rFonts w:ascii="Times New Roman" w:hAnsi="Times New Roman" w:cs="Times New Roman"/>
          <w:sz w:val="24"/>
          <w:szCs w:val="24"/>
        </w:rPr>
        <w:t xml:space="preserve"> contract is usually 500 shares for a period of 90, 30 or 7 days. </w:t>
      </w:r>
      <w:r w:rsidR="00321FB5">
        <w:rPr>
          <w:rFonts w:ascii="Times New Roman" w:hAnsi="Times New Roman" w:cs="Times New Roman"/>
          <w:sz w:val="24"/>
          <w:szCs w:val="24"/>
        </w:rPr>
        <w:t>The futures contract usually opens on first trading day of the next week following the close of the contract. Whereas, the last Friday of the calendar month or week is the last trading day for the futures contract. Also,</w:t>
      </w:r>
      <w:r w:rsidR="00191259">
        <w:rPr>
          <w:rFonts w:ascii="Times New Roman" w:hAnsi="Times New Roman" w:cs="Times New Roman"/>
          <w:sz w:val="24"/>
          <w:szCs w:val="24"/>
        </w:rPr>
        <w:t xml:space="preserve"> the cash settlement takes place one day after the transaction date</w:t>
      </w:r>
      <w:r w:rsidR="00321FB5">
        <w:rPr>
          <w:rFonts w:ascii="Times New Roman" w:hAnsi="Times New Roman" w:cs="Times New Roman"/>
          <w:sz w:val="24"/>
          <w:szCs w:val="24"/>
        </w:rPr>
        <w:t xml:space="preserve">.  </w:t>
      </w:r>
      <w:r w:rsidRPr="00473828">
        <w:rPr>
          <w:rFonts w:ascii="Times New Roman" w:hAnsi="Times New Roman" w:cs="Times New Roman"/>
          <w:sz w:val="24"/>
          <w:szCs w:val="24"/>
        </w:rPr>
        <w:t>B</w:t>
      </w:r>
      <w:r w:rsidR="005D1DE8">
        <w:rPr>
          <w:rFonts w:ascii="Times New Roman" w:hAnsi="Times New Roman" w:cs="Times New Roman"/>
          <w:sz w:val="24"/>
          <w:szCs w:val="24"/>
        </w:rPr>
        <w:t>y April 2018, there are around 4</w:t>
      </w:r>
      <w:r w:rsidRPr="00473828">
        <w:rPr>
          <w:rFonts w:ascii="Times New Roman" w:hAnsi="Times New Roman" w:cs="Times New Roman"/>
          <w:sz w:val="24"/>
          <w:szCs w:val="24"/>
        </w:rPr>
        <w:t>6 stocks, which have futures avail</w:t>
      </w:r>
      <w:r w:rsidR="00E17E26">
        <w:rPr>
          <w:rFonts w:ascii="Times New Roman" w:hAnsi="Times New Roman" w:cs="Times New Roman"/>
          <w:sz w:val="24"/>
          <w:szCs w:val="24"/>
        </w:rPr>
        <w:t>able on them on PSX. And these 4</w:t>
      </w:r>
      <w:r w:rsidRPr="00473828">
        <w:rPr>
          <w:rFonts w:ascii="Times New Roman" w:hAnsi="Times New Roman" w:cs="Times New Roman"/>
          <w:sz w:val="24"/>
          <w:szCs w:val="24"/>
        </w:rPr>
        <w:t>6 stocks signify major sectors of Pakistan. The current study us</w:t>
      </w:r>
      <w:r w:rsidR="003565F8">
        <w:rPr>
          <w:rFonts w:ascii="Times New Roman" w:hAnsi="Times New Roman" w:cs="Times New Roman"/>
          <w:sz w:val="24"/>
          <w:szCs w:val="24"/>
        </w:rPr>
        <w:t xml:space="preserve">es data from KSE-100 index; 90 </w:t>
      </w:r>
      <w:r w:rsidRPr="00473828">
        <w:rPr>
          <w:rFonts w:ascii="Times New Roman" w:hAnsi="Times New Roman" w:cs="Times New Roman"/>
          <w:sz w:val="24"/>
          <w:szCs w:val="24"/>
        </w:rPr>
        <w:t>stocks which are listed on KSE-100 and the futures, which are listed on Pakistan Stock Exchange (PSX).</w:t>
      </w:r>
      <w:r w:rsidR="00077462">
        <w:rPr>
          <w:rFonts w:ascii="Times New Roman" w:hAnsi="Times New Roman" w:cs="Times New Roman"/>
          <w:sz w:val="24"/>
          <w:szCs w:val="24"/>
        </w:rPr>
        <w:t xml:space="preserve"> The sample size consists of 46</w:t>
      </w:r>
      <w:r w:rsidRPr="00473828">
        <w:rPr>
          <w:rFonts w:ascii="Times New Roman" w:hAnsi="Times New Roman" w:cs="Times New Roman"/>
          <w:sz w:val="24"/>
          <w:szCs w:val="24"/>
        </w:rPr>
        <w:t xml:space="preserve"> stocks, which have futures available on them, and the remaining stocks that do not have futures available on them on KSE-100 index. Price data is used to </w:t>
      </w:r>
      <w:r w:rsidR="008D1E41" w:rsidRPr="00473828">
        <w:rPr>
          <w:rFonts w:ascii="Times New Roman" w:hAnsi="Times New Roman" w:cs="Times New Roman"/>
          <w:sz w:val="24"/>
          <w:szCs w:val="24"/>
        </w:rPr>
        <w:t>inspect</w:t>
      </w:r>
      <w:r w:rsidRPr="00473828">
        <w:rPr>
          <w:rFonts w:ascii="Times New Roman" w:hAnsi="Times New Roman" w:cs="Times New Roman"/>
          <w:sz w:val="24"/>
          <w:szCs w:val="24"/>
        </w:rPr>
        <w:t xml:space="preserve"> the impact of SSFs contracts on underlying spot market. </w:t>
      </w:r>
    </w:p>
    <w:p w:rsidR="00473828" w:rsidRPr="00473828" w:rsidRDefault="00473828" w:rsidP="00473828">
      <w:pPr>
        <w:autoSpaceDE w:val="0"/>
        <w:autoSpaceDN w:val="0"/>
        <w:adjustRightInd w:val="0"/>
        <w:spacing w:after="0" w:line="480" w:lineRule="auto"/>
        <w:jc w:val="both"/>
        <w:rPr>
          <w:rFonts w:ascii="Times New Roman" w:hAnsi="Times New Roman" w:cs="Times New Roman"/>
          <w:sz w:val="24"/>
          <w:szCs w:val="24"/>
        </w:rPr>
      </w:pPr>
      <w:r w:rsidRPr="00473828">
        <w:rPr>
          <w:rFonts w:ascii="Times New Roman" w:hAnsi="Times New Roman" w:cs="Times New Roman"/>
          <w:sz w:val="24"/>
          <w:szCs w:val="24"/>
        </w:rPr>
        <w:t>The variables would be:</w:t>
      </w:r>
    </w:p>
    <w:p w:rsidR="00473828" w:rsidRPr="00473828" w:rsidRDefault="00473828" w:rsidP="00473828">
      <w:pPr>
        <w:numPr>
          <w:ilvl w:val="0"/>
          <w:numId w:val="11"/>
        </w:numPr>
        <w:autoSpaceDE w:val="0"/>
        <w:autoSpaceDN w:val="0"/>
        <w:adjustRightInd w:val="0"/>
        <w:spacing w:after="0" w:line="480" w:lineRule="auto"/>
        <w:contextualSpacing/>
        <w:jc w:val="both"/>
        <w:rPr>
          <w:rFonts w:ascii="Times New Roman" w:hAnsi="Times New Roman" w:cs="Times New Roman"/>
          <w:sz w:val="24"/>
          <w:szCs w:val="24"/>
        </w:rPr>
      </w:pPr>
      <w:r w:rsidRPr="00473828">
        <w:rPr>
          <w:rFonts w:ascii="Times New Roman" w:hAnsi="Times New Roman" w:cs="Times New Roman"/>
          <w:sz w:val="24"/>
          <w:szCs w:val="24"/>
        </w:rPr>
        <w:t>Closing Prices</w:t>
      </w:r>
    </w:p>
    <w:p w:rsidR="00473828" w:rsidRPr="00473828" w:rsidRDefault="00473828" w:rsidP="00473828">
      <w:pPr>
        <w:numPr>
          <w:ilvl w:val="0"/>
          <w:numId w:val="11"/>
        </w:numPr>
        <w:autoSpaceDE w:val="0"/>
        <w:autoSpaceDN w:val="0"/>
        <w:adjustRightInd w:val="0"/>
        <w:spacing w:after="0" w:line="480" w:lineRule="auto"/>
        <w:contextualSpacing/>
        <w:jc w:val="both"/>
        <w:rPr>
          <w:rFonts w:ascii="Times New Roman" w:hAnsi="Times New Roman" w:cs="Times New Roman"/>
          <w:sz w:val="24"/>
          <w:szCs w:val="24"/>
        </w:rPr>
      </w:pPr>
      <w:r w:rsidRPr="00473828">
        <w:rPr>
          <w:rFonts w:ascii="Times New Roman" w:hAnsi="Times New Roman" w:cs="Times New Roman"/>
          <w:sz w:val="24"/>
          <w:szCs w:val="24"/>
        </w:rPr>
        <w:t xml:space="preserve">Market Capitalization: Free-float market capitalization would be used. As it considers only those shares which are readily available for public for trading in the market and it excludes those shares which are held by company executives, government etc. </w:t>
      </w:r>
    </w:p>
    <w:p w:rsidR="00473828" w:rsidRPr="00473828" w:rsidRDefault="00473828" w:rsidP="00473828">
      <w:pPr>
        <w:numPr>
          <w:ilvl w:val="0"/>
          <w:numId w:val="11"/>
        </w:numPr>
        <w:autoSpaceDE w:val="0"/>
        <w:autoSpaceDN w:val="0"/>
        <w:adjustRightInd w:val="0"/>
        <w:spacing w:after="0" w:line="480" w:lineRule="auto"/>
        <w:contextualSpacing/>
        <w:jc w:val="both"/>
        <w:rPr>
          <w:rFonts w:ascii="Times New Roman" w:hAnsi="Times New Roman" w:cs="Times New Roman"/>
          <w:sz w:val="24"/>
          <w:szCs w:val="24"/>
        </w:rPr>
      </w:pPr>
      <w:r w:rsidRPr="00473828">
        <w:rPr>
          <w:rFonts w:ascii="Times New Roman" w:hAnsi="Times New Roman" w:cs="Times New Roman"/>
          <w:sz w:val="24"/>
          <w:szCs w:val="24"/>
        </w:rPr>
        <w:lastRenderedPageBreak/>
        <w:t>Size of the firm: We will be using two proxies of size, one is based on balance sheet (total assets) and the second is based on market (market capitalization)</w:t>
      </w:r>
    </w:p>
    <w:p w:rsidR="00473828" w:rsidRPr="00473828" w:rsidRDefault="00473828" w:rsidP="00473828">
      <w:pPr>
        <w:numPr>
          <w:ilvl w:val="0"/>
          <w:numId w:val="11"/>
        </w:numPr>
        <w:autoSpaceDE w:val="0"/>
        <w:autoSpaceDN w:val="0"/>
        <w:adjustRightInd w:val="0"/>
        <w:spacing w:after="0" w:line="480" w:lineRule="auto"/>
        <w:contextualSpacing/>
        <w:jc w:val="both"/>
        <w:rPr>
          <w:rFonts w:ascii="Times New Roman" w:hAnsi="Times New Roman" w:cs="Times New Roman"/>
          <w:sz w:val="24"/>
          <w:szCs w:val="24"/>
        </w:rPr>
      </w:pPr>
      <w:r w:rsidRPr="00473828">
        <w:rPr>
          <w:rFonts w:ascii="Times New Roman" w:hAnsi="Times New Roman" w:cs="Times New Roman"/>
          <w:sz w:val="24"/>
          <w:szCs w:val="24"/>
        </w:rPr>
        <w:t xml:space="preserve">Book value of equity: It is defined as shareholder’s equity and it is calculated as total assets minus total liabilities and preferred stocks. </w:t>
      </w:r>
    </w:p>
    <w:p w:rsidR="00473828" w:rsidRPr="00473828" w:rsidRDefault="00473828" w:rsidP="00473828">
      <w:pPr>
        <w:autoSpaceDE w:val="0"/>
        <w:autoSpaceDN w:val="0"/>
        <w:adjustRightInd w:val="0"/>
        <w:spacing w:after="0"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The data is collected from online data portal of Pakistan Stock Exchange Limited. Some of the other fundamental variables are obtained from annual report of the firms. And we have used the data from the year 2013 till year 2018 for 90 companies in total. While choosing the companies, we ensured consistent presence of stocks in KSE 100 Index because of the fact that these are the stocks which are more actively traded in the stock market. For futures listed portfolio, we only chose those stocks which have futures listed on them for 5 or more than 5 periods. We further deleted some companies due to data unavailability. </w:t>
      </w:r>
    </w:p>
    <w:p w:rsidR="00473828" w:rsidRPr="00B152A3" w:rsidRDefault="00473828" w:rsidP="00B152A3">
      <w:pPr>
        <w:pStyle w:val="Heading3"/>
        <w:spacing w:after="240"/>
        <w:jc w:val="both"/>
        <w:rPr>
          <w:rFonts w:ascii="Times New Roman" w:hAnsi="Times New Roman" w:cs="Times New Roman"/>
          <w:b/>
          <w:color w:val="auto"/>
        </w:rPr>
      </w:pPr>
      <w:bookmarkStart w:id="9" w:name="_Toc520219895"/>
      <w:r w:rsidRPr="00B152A3">
        <w:rPr>
          <w:rFonts w:ascii="Times New Roman" w:hAnsi="Times New Roman" w:cs="Times New Roman"/>
          <w:b/>
          <w:color w:val="auto"/>
        </w:rPr>
        <w:t>3.2 Review of Methodology</w:t>
      </w:r>
      <w:bookmarkEnd w:id="9"/>
    </w:p>
    <w:p w:rsidR="00473828" w:rsidRPr="00473828" w:rsidRDefault="00473828" w:rsidP="00473828">
      <w:pPr>
        <w:autoSpaceDE w:val="0"/>
        <w:autoSpaceDN w:val="0"/>
        <w:adjustRightInd w:val="0"/>
        <w:spacing w:after="0" w:line="480" w:lineRule="auto"/>
        <w:rPr>
          <w:rFonts w:ascii="Times New Roman" w:hAnsi="Times New Roman" w:cs="Times New Roman"/>
          <w:b/>
          <w:sz w:val="24"/>
          <w:szCs w:val="24"/>
        </w:rPr>
      </w:pPr>
      <w:r w:rsidRPr="00473828">
        <w:rPr>
          <w:rFonts w:ascii="Times New Roman" w:hAnsi="Times New Roman" w:cs="Times New Roman"/>
          <w:sz w:val="24"/>
          <w:szCs w:val="24"/>
        </w:rPr>
        <w:t>Engle (1982) presented Autoregressive Conditional Heteroskedastic (ARCH) model in his paper, which was later extended to Generalized Autoregressive Conditional Heteroskedastic (GARCH) model by Bollerslev (1986). Both models have been widely used in different studies for exhibiting volatility of time-series data.  And GARCH model facilitates in capturing time-varying variance and volatility clustering by adding conditional variance terms to the regression equation. Volatility clustering is one of the prominent characteristics of the financial data. It asserts that larger movements in periods increase the variation in the following periods. All these models are predominantly and successfully used in finance to examine time variance in the stock return volatility.</w:t>
      </w:r>
    </w:p>
    <w:p w:rsidR="00473828" w:rsidRPr="00473828" w:rsidRDefault="00473828" w:rsidP="00473828">
      <w:pPr>
        <w:autoSpaceDE w:val="0"/>
        <w:autoSpaceDN w:val="0"/>
        <w:adjustRightInd w:val="0"/>
        <w:spacing w:after="0"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In the earliest times, Cox (1976) estimated the </w:t>
      </w:r>
      <w:r w:rsidR="00AE2E8A" w:rsidRPr="00473828">
        <w:rPr>
          <w:rFonts w:ascii="Times New Roman" w:hAnsi="Times New Roman" w:cs="Times New Roman"/>
          <w:sz w:val="24"/>
          <w:szCs w:val="24"/>
        </w:rPr>
        <w:t>effect</w:t>
      </w:r>
      <w:r w:rsidRPr="00473828">
        <w:rPr>
          <w:rFonts w:ascii="Times New Roman" w:hAnsi="Times New Roman" w:cs="Times New Roman"/>
          <w:sz w:val="24"/>
          <w:szCs w:val="24"/>
        </w:rPr>
        <w:t xml:space="preserve"> of futures </w:t>
      </w:r>
      <w:r w:rsidR="00AE2E8A">
        <w:rPr>
          <w:rFonts w:ascii="Times New Roman" w:hAnsi="Times New Roman" w:cs="Times New Roman"/>
          <w:sz w:val="24"/>
          <w:szCs w:val="24"/>
        </w:rPr>
        <w:t>listing</w:t>
      </w:r>
      <w:r w:rsidRPr="00473828">
        <w:rPr>
          <w:rFonts w:ascii="Times New Roman" w:hAnsi="Times New Roman" w:cs="Times New Roman"/>
          <w:sz w:val="24"/>
          <w:szCs w:val="24"/>
        </w:rPr>
        <w:t xml:space="preserve"> on spot market information through auto-regression. Later, Froewiss (1978) investigated the influence of futures </w:t>
      </w:r>
      <w:r w:rsidRPr="00473828">
        <w:rPr>
          <w:rFonts w:ascii="Times New Roman" w:hAnsi="Times New Roman" w:cs="Times New Roman"/>
          <w:sz w:val="24"/>
          <w:szCs w:val="24"/>
        </w:rPr>
        <w:lastRenderedPageBreak/>
        <w:t>introduction on the GNMA prices by using regression analysis and he concluded no change in the spot price volatility after the introduction of futures trading. However, Figlewski (1981) demonstrated using the similar regressions that futures trading in GNMA securities led to an increase in monthly price volatility.</w:t>
      </w:r>
    </w:p>
    <w:p w:rsidR="00473828" w:rsidRPr="00473828" w:rsidRDefault="00473828" w:rsidP="00473828">
      <w:pPr>
        <w:autoSpaceDE w:val="0"/>
        <w:autoSpaceDN w:val="0"/>
        <w:adjustRightInd w:val="0"/>
        <w:spacing w:after="0"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Harris (1989) compared the volatilities of S&amp;P 500 stocks with non S&amp;P stocks while controlling for different factors (beta, firm size, price level, trade frequency). He used cross-sectional covariance analysis model that facilitated in controlling variation by modeling its impact. In addition, he made a careful selection of non-S&amp;P stocks and calculated the mean differences between volatilities of </w:t>
      </w:r>
      <w:r w:rsidR="00BD27D7">
        <w:rPr>
          <w:rFonts w:ascii="Times New Roman" w:hAnsi="Times New Roman" w:cs="Times New Roman"/>
          <w:sz w:val="24"/>
          <w:szCs w:val="24"/>
        </w:rPr>
        <w:t xml:space="preserve">S&amp;P stocks and non S&amp;P stocks. </w:t>
      </w:r>
    </w:p>
    <w:p w:rsidR="00473828" w:rsidRPr="00473828" w:rsidRDefault="00473828" w:rsidP="00473828">
      <w:pPr>
        <w:autoSpaceDE w:val="0"/>
        <w:autoSpaceDN w:val="0"/>
        <w:adjustRightInd w:val="0"/>
        <w:spacing w:after="0"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However, Antoniou and Holmes (1995) conducted the first study that used GARCH model to investigate the impact of futures trading on underlying spot volatility. The authors added a dummy variable to assess the effect of existence of futures trading on the volatility by augmenting the conditional variance equation. Additionally, they compared the volatility both before and after the introduction of futures trading. </w:t>
      </w:r>
    </w:p>
    <w:p w:rsidR="00473828" w:rsidRPr="00473828" w:rsidRDefault="00473828" w:rsidP="00473828">
      <w:pPr>
        <w:autoSpaceDE w:val="0"/>
        <w:autoSpaceDN w:val="0"/>
        <w:adjustRightInd w:val="0"/>
        <w:spacing w:after="0"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According to Engle and Bollerslev (1986) the conditional variance can be modelled as GARCH process in order to encapsulate the nature of volatility. Also, GARCH model has this advantage over regression analysis that it takes into account the volatility clustering in the financial data.   The former studies used </w:t>
      </w:r>
      <w:r w:rsidRPr="00473828">
        <w:rPr>
          <w:rFonts w:ascii="Times New Roman" w:hAnsi="Times New Roman" w:cs="Times New Roman"/>
          <w:i/>
          <w:sz w:val="24"/>
          <w:szCs w:val="24"/>
        </w:rPr>
        <w:t>univariate</w:t>
      </w:r>
      <w:r w:rsidRPr="00473828">
        <w:rPr>
          <w:rFonts w:ascii="Times New Roman" w:hAnsi="Times New Roman" w:cs="Times New Roman"/>
          <w:sz w:val="24"/>
          <w:szCs w:val="24"/>
        </w:rPr>
        <w:t xml:space="preserve"> GARCH model that estimated the conditional variance of returns of time series data. However, this model was unable to capture the cross correlation of a set of assets and the conditional covariance between the two time series was also not determined by the univariate GARCH model. Thus, Multivariate GARCH ended up as a better solution to examine the volatility clustering of several assets/securities or markets at the same time and their </w:t>
      </w:r>
      <w:r w:rsidRPr="00473828">
        <w:rPr>
          <w:rFonts w:ascii="Times New Roman" w:hAnsi="Times New Roman" w:cs="Times New Roman"/>
          <w:sz w:val="24"/>
          <w:szCs w:val="24"/>
        </w:rPr>
        <w:lastRenderedPageBreak/>
        <w:t>co-movements as well. Also, MGARCH has been widely used for analyzing volatility spillovers and correlation transmission (Silv</w:t>
      </w:r>
      <w:r w:rsidR="00530647">
        <w:rPr>
          <w:rFonts w:ascii="Times New Roman" w:hAnsi="Times New Roman" w:cs="Times New Roman"/>
          <w:sz w:val="24"/>
          <w:szCs w:val="24"/>
        </w:rPr>
        <w:t>ennoinen and Teräsvirta, 2009).</w:t>
      </w:r>
    </w:p>
    <w:p w:rsidR="00473828" w:rsidRPr="00473828" w:rsidRDefault="00473828" w:rsidP="00473828">
      <w:pPr>
        <w:autoSpaceDE w:val="0"/>
        <w:autoSpaceDN w:val="0"/>
        <w:adjustRightInd w:val="0"/>
        <w:spacing w:after="0"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The foremost parametric MGARCH models were VEC and BEKK model. Bollerslev, Engle and Wooldridge (1988) introduced the model VEC-GARCH that was an effortless generalization of univariate GARCH models. In this model every conditional variance and covariance was a function of all lagged conditional variance and covariances as well as lagged squared returns and returns cross-products. The model, however, also had some disadvantages because it required larger number of parameters to be estimated and it became difficult to ensure positive definiteness of covariance matrices. Later on, to outdo this problem and to evaluate volatility spillovers Baba, Engle, Kraft and Kroner developed a model known as GARCH-BEKK as used by Engle and Kroner (1995). One of the characteristics of this model was that the conditional covariance matrix was positive definite by construction and the model was more parsimonious. In the same year, Bollerslev (1990) introduced CCC-GARCH model, which was a simplest correlation multivariate model encapsulated in other conditional correlation models. </w:t>
      </w:r>
    </w:p>
    <w:p w:rsidR="00473828" w:rsidRPr="00473828" w:rsidRDefault="00473828" w:rsidP="00473828">
      <w:pPr>
        <w:autoSpaceDE w:val="0"/>
        <w:autoSpaceDN w:val="0"/>
        <w:adjustRightInd w:val="0"/>
        <w:spacing w:after="0" w:line="480" w:lineRule="auto"/>
        <w:jc w:val="both"/>
        <w:rPr>
          <w:rFonts w:ascii="Times New Roman" w:hAnsi="Times New Roman" w:cs="Times New Roman"/>
          <w:sz w:val="24"/>
          <w:szCs w:val="24"/>
        </w:rPr>
      </w:pPr>
      <w:r w:rsidRPr="00473828">
        <w:rPr>
          <w:rFonts w:ascii="Times New Roman" w:hAnsi="Times New Roman" w:cs="Times New Roman"/>
          <w:sz w:val="24"/>
          <w:szCs w:val="24"/>
        </w:rPr>
        <w:t>Gulen and Mayhew (2000) utilized various models of GARCH family in order to estimate the volatility in twenty-five different countries</w:t>
      </w:r>
      <w:r w:rsidR="00E52692">
        <w:rPr>
          <w:rFonts w:ascii="Times New Roman" w:hAnsi="Times New Roman" w:cs="Times New Roman"/>
          <w:sz w:val="24"/>
          <w:szCs w:val="24"/>
        </w:rPr>
        <w:t xml:space="preserve"> both before and after the commencement of equity index futures</w:t>
      </w:r>
      <w:r w:rsidRPr="00473828">
        <w:rPr>
          <w:rFonts w:ascii="Times New Roman" w:hAnsi="Times New Roman" w:cs="Times New Roman"/>
          <w:sz w:val="24"/>
          <w:szCs w:val="24"/>
        </w:rPr>
        <w:t xml:space="preserve">. Firstly, univariate GARCH process was used in order to consider most of the prominent characteristics of the data and to capture world market movements while using less number of parameters. In the univariate GARCH analysis, any certainty linked to lagged returns or day-of-the-week effects was removed from the time-series data. The authors then performed various test in order to identify the appropriate model for their data and ended up using GJR-GARCH model. They interacted GJR-GARCH conditional volatility equation with multiplicative dummy variable in order to assess the impact of futures introduction. </w:t>
      </w:r>
    </w:p>
    <w:p w:rsidR="00473828" w:rsidRPr="00473828" w:rsidRDefault="00473828" w:rsidP="00473828">
      <w:pPr>
        <w:autoSpaceDE w:val="0"/>
        <w:autoSpaceDN w:val="0"/>
        <w:adjustRightInd w:val="0"/>
        <w:spacing w:after="0" w:line="480" w:lineRule="auto"/>
        <w:jc w:val="both"/>
        <w:rPr>
          <w:rFonts w:ascii="Times New Roman" w:hAnsi="Times New Roman" w:cs="Times New Roman"/>
          <w:sz w:val="24"/>
          <w:szCs w:val="24"/>
        </w:rPr>
      </w:pPr>
      <w:r w:rsidRPr="00473828">
        <w:rPr>
          <w:rFonts w:ascii="Times New Roman" w:hAnsi="Times New Roman" w:cs="Times New Roman"/>
          <w:sz w:val="24"/>
          <w:szCs w:val="24"/>
        </w:rPr>
        <w:lastRenderedPageBreak/>
        <w:t xml:space="preserve">Later, in order to evaluate the association between futures introduction, spot market volatility and efficiency, Bae, Kwon and Park (2004) used two approaches. Firstly, they compared the spot market volatility before and after the introduction of futures trading. The other approach was to compare cross-sectional differences in spot market volatility of companies, which were listed in the index, and the </w:t>
      </w:r>
      <w:r w:rsidR="00100A13">
        <w:rPr>
          <w:rFonts w:ascii="Times New Roman" w:hAnsi="Times New Roman" w:cs="Times New Roman"/>
          <w:sz w:val="24"/>
          <w:szCs w:val="24"/>
        </w:rPr>
        <w:t>stockswith no futures available on them</w:t>
      </w:r>
      <w:r w:rsidRPr="00473828">
        <w:rPr>
          <w:rFonts w:ascii="Times New Roman" w:hAnsi="Times New Roman" w:cs="Times New Roman"/>
          <w:sz w:val="24"/>
          <w:szCs w:val="24"/>
        </w:rPr>
        <w:t xml:space="preserve">. The authors also used autoregressive moving average (ARMA) process in order to ensure the true values of volatility of the index. </w:t>
      </w:r>
    </w:p>
    <w:p w:rsidR="00473828" w:rsidRPr="00473828" w:rsidRDefault="00473828" w:rsidP="00473828">
      <w:pPr>
        <w:autoSpaceDE w:val="0"/>
        <w:autoSpaceDN w:val="0"/>
        <w:adjustRightInd w:val="0"/>
        <w:spacing w:after="0"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To examine the impact of futures trading on efficiency and volatility of Indian stock market, Gahlot and Datta (2011) used </w:t>
      </w:r>
      <w:r w:rsidR="00050659">
        <w:rPr>
          <w:rFonts w:ascii="Times New Roman" w:hAnsi="Times New Roman" w:cs="Times New Roman"/>
          <w:sz w:val="24"/>
          <w:szCs w:val="24"/>
        </w:rPr>
        <w:t>EGARCH</w:t>
      </w:r>
      <w:r w:rsidRPr="00473828">
        <w:rPr>
          <w:rFonts w:ascii="Times New Roman" w:hAnsi="Times New Roman" w:cs="Times New Roman"/>
          <w:sz w:val="24"/>
          <w:szCs w:val="24"/>
        </w:rPr>
        <w:t xml:space="preserve"> model. This model was applied in order to test the volatility of index returns after the introduction of future trading. It had several advantages over GARCH model; it captured the asymmetric characteristics of the data and did not hold the postulation of symmetrical impact on volatility. EGARCH model also facilitated in handling of good and bad news and did not have any constraint of having positive signs on ARCH and GARCH co-efficient. </w:t>
      </w:r>
    </w:p>
    <w:p w:rsidR="00473828" w:rsidRDefault="00473828" w:rsidP="00473828">
      <w:pPr>
        <w:autoSpaceDE w:val="0"/>
        <w:autoSpaceDN w:val="0"/>
        <w:adjustRightInd w:val="0"/>
        <w:spacing w:after="0" w:line="480" w:lineRule="auto"/>
        <w:jc w:val="both"/>
        <w:rPr>
          <w:rFonts w:ascii="Times New Roman" w:hAnsi="Times New Roman" w:cs="Times New Roman"/>
          <w:sz w:val="24"/>
          <w:szCs w:val="24"/>
        </w:rPr>
      </w:pPr>
      <w:r w:rsidRPr="00E57574">
        <w:rPr>
          <w:rFonts w:ascii="Times New Roman" w:hAnsi="Times New Roman" w:cs="Times New Roman"/>
          <w:sz w:val="24"/>
          <w:szCs w:val="24"/>
        </w:rPr>
        <w:t xml:space="preserve">Recently, Malik and Shah (2017) embraced an event study mechanism in order to investigate the impact of futures trading on market efficiency and spot market volatility. Two methodologies have been widely used in the literature (Khan and Abbas, 2013; Gahlot and Datta, 2011; Mazouz and Bowe, 2006; Bae, Kown and Park, 2004; Antoniou and Holmes, 1995) etc. However, this study used both methods to analyze the data. First methodology compares the spot market volatility in post and pre-futures period without taking into account the other cross-sectional determinants of spot market volatility. This directed towards the </w:t>
      </w:r>
      <w:r w:rsidR="00540C2B" w:rsidRPr="00E57574">
        <w:rPr>
          <w:rFonts w:ascii="Times New Roman" w:hAnsi="Times New Roman" w:cs="Times New Roman"/>
          <w:sz w:val="24"/>
          <w:szCs w:val="24"/>
        </w:rPr>
        <w:t>utilization of another method</w:t>
      </w:r>
      <w:r w:rsidRPr="00E57574">
        <w:rPr>
          <w:rFonts w:ascii="Times New Roman" w:hAnsi="Times New Roman" w:cs="Times New Roman"/>
          <w:sz w:val="24"/>
          <w:szCs w:val="24"/>
        </w:rPr>
        <w:t xml:space="preserve">, which </w:t>
      </w:r>
      <w:r w:rsidR="00540C2B" w:rsidRPr="00E57574">
        <w:rPr>
          <w:rFonts w:ascii="Times New Roman" w:hAnsi="Times New Roman" w:cs="Times New Roman"/>
          <w:sz w:val="24"/>
          <w:szCs w:val="24"/>
        </w:rPr>
        <w:t xml:space="preserve">can do cross-sectional comparison between </w:t>
      </w:r>
      <w:r w:rsidRPr="00E57574">
        <w:rPr>
          <w:rFonts w:ascii="Times New Roman" w:hAnsi="Times New Roman" w:cs="Times New Roman"/>
          <w:sz w:val="24"/>
          <w:szCs w:val="24"/>
        </w:rPr>
        <w:t xml:space="preserve">spot market volatility </w:t>
      </w:r>
      <w:r w:rsidR="00540C2B" w:rsidRPr="00E57574">
        <w:rPr>
          <w:rFonts w:ascii="Times New Roman" w:hAnsi="Times New Roman" w:cs="Times New Roman"/>
          <w:sz w:val="24"/>
          <w:szCs w:val="24"/>
        </w:rPr>
        <w:t>of future</w:t>
      </w:r>
      <w:r w:rsidR="003B1CE5" w:rsidRPr="00E57574">
        <w:rPr>
          <w:rFonts w:ascii="Times New Roman" w:hAnsi="Times New Roman" w:cs="Times New Roman"/>
          <w:sz w:val="24"/>
          <w:szCs w:val="24"/>
        </w:rPr>
        <w:t>s-</w:t>
      </w:r>
      <w:r w:rsidR="00540C2B" w:rsidRPr="00E57574">
        <w:rPr>
          <w:rFonts w:ascii="Times New Roman" w:hAnsi="Times New Roman" w:cs="Times New Roman"/>
          <w:sz w:val="24"/>
          <w:szCs w:val="24"/>
        </w:rPr>
        <w:t xml:space="preserve">listed stocks and non-futures listed stocks. </w:t>
      </w:r>
      <w:r w:rsidRPr="00E57574">
        <w:rPr>
          <w:rFonts w:ascii="Times New Roman" w:hAnsi="Times New Roman" w:cs="Times New Roman"/>
          <w:sz w:val="24"/>
          <w:szCs w:val="24"/>
        </w:rPr>
        <w:t xml:space="preserve">Hence, this study made use of both approaches for robust results </w:t>
      </w:r>
      <w:r w:rsidRPr="00E57574">
        <w:rPr>
          <w:rFonts w:ascii="Times New Roman" w:hAnsi="Times New Roman" w:cs="Times New Roman"/>
          <w:sz w:val="24"/>
          <w:szCs w:val="24"/>
        </w:rPr>
        <w:lastRenderedPageBreak/>
        <w:t>and to take into account any simultaneous changes caused by other factors. This study utilized GJR-GARCH model to check for any permanent changes in variation of prediction error.</w:t>
      </w:r>
    </w:p>
    <w:p w:rsidR="00D62170" w:rsidRPr="00473828" w:rsidRDefault="00D62170" w:rsidP="0047382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GJR-GARCH model is a commonly used model that incorporates asymmetric volatility. The reason of using this model is that it directly models the variance and </w:t>
      </w:r>
      <w:r w:rsidR="00E708DF">
        <w:rPr>
          <w:rFonts w:ascii="Times New Roman" w:hAnsi="Times New Roman" w:cs="Times New Roman"/>
          <w:sz w:val="24"/>
          <w:szCs w:val="24"/>
        </w:rPr>
        <w:t xml:space="preserve">it </w:t>
      </w:r>
      <w:r>
        <w:rPr>
          <w:rFonts w:ascii="Times New Roman" w:hAnsi="Times New Roman" w:cs="Times New Roman"/>
          <w:sz w:val="24"/>
          <w:szCs w:val="24"/>
        </w:rPr>
        <w:t xml:space="preserve">does not utilize the natural logarithm like the EGARCH model. </w:t>
      </w:r>
      <w:r w:rsidR="00E708DF">
        <w:rPr>
          <w:rFonts w:ascii="Times New Roman" w:hAnsi="Times New Roman" w:cs="Times New Roman"/>
          <w:sz w:val="24"/>
          <w:szCs w:val="24"/>
        </w:rPr>
        <w:t xml:space="preserve">Also, this model is quite simpler to use (Hayashi, 2000). Also, </w:t>
      </w:r>
      <w:r w:rsidR="0082317E">
        <w:rPr>
          <w:rFonts w:ascii="Times New Roman" w:hAnsi="Times New Roman" w:cs="Times New Roman"/>
          <w:sz w:val="24"/>
          <w:szCs w:val="24"/>
        </w:rPr>
        <w:t xml:space="preserve">various studies that have utilized GJR-GARCH model have considered this model as the most sufficient in the volatility forecasting and estimation of VaR (Liu and Hung, 2010). </w:t>
      </w:r>
    </w:p>
    <w:p w:rsidR="00473828" w:rsidRPr="00A276D0" w:rsidRDefault="00473828" w:rsidP="00A276D0">
      <w:pPr>
        <w:pStyle w:val="Heading4"/>
        <w:spacing w:after="240"/>
        <w:jc w:val="both"/>
        <w:rPr>
          <w:rFonts w:ascii="Times New Roman" w:hAnsi="Times New Roman" w:cs="Times New Roman"/>
          <w:b/>
          <w:i w:val="0"/>
          <w:color w:val="auto"/>
          <w:sz w:val="24"/>
        </w:rPr>
      </w:pPr>
      <w:bookmarkStart w:id="10" w:name="_Toc520219896"/>
      <w:r w:rsidRPr="00A276D0">
        <w:rPr>
          <w:rFonts w:ascii="Times New Roman" w:hAnsi="Times New Roman" w:cs="Times New Roman"/>
          <w:b/>
          <w:i w:val="0"/>
          <w:color w:val="auto"/>
          <w:sz w:val="24"/>
        </w:rPr>
        <w:t>3.3 Model Specification</w:t>
      </w:r>
      <w:bookmarkEnd w:id="10"/>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For this research, we will be constructing two market value weighted portfolios for the stocks listed in KSE 100 Index based on whether they have futures upon them or not. The following equation will be used to calculate portfolio returns. </w:t>
      </w:r>
    </w:p>
    <w:p w:rsidR="00473828" w:rsidRPr="00473828" w:rsidRDefault="008C0B72" w:rsidP="00473828">
      <w:pPr>
        <w:spacing w:line="480" w:lineRule="auto"/>
        <w:jc w:val="center"/>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PFR</m:t>
            </m:r>
          </m:e>
          <m:sub>
            <m:r>
              <w:rPr>
                <w:rFonts w:ascii="Cambria Math" w:hAnsi="Cambria Math" w:cs="Times New Roman"/>
                <w:sz w:val="24"/>
                <w:szCs w:val="24"/>
              </w:rPr>
              <m:t>i,t</m:t>
            </m:r>
          </m:sub>
        </m:sSub>
        <m:r>
          <w:rPr>
            <w:rFonts w:ascii="Cambria Math" w:hAnsi="Cambria Math" w:cs="Times New Roman"/>
            <w:sz w:val="24"/>
            <w:szCs w:val="24"/>
          </w:rPr>
          <m:t xml:space="preserve">=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j,t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j,t</m:t>
                </m:r>
              </m:sub>
            </m:sSub>
          </m:e>
        </m:nary>
      </m:oMath>
      <w:r w:rsidR="00473828" w:rsidRPr="00473828">
        <w:rPr>
          <w:rFonts w:ascii="Times New Roman" w:eastAsia="Calibri" w:hAnsi="Times New Roman" w:cs="Times New Roman"/>
          <w:sz w:val="24"/>
          <w:szCs w:val="24"/>
        </w:rPr>
        <w:t xml:space="preserve">                                                                              (1)</w:t>
      </w:r>
    </w:p>
    <w:p w:rsidR="00473828" w:rsidRDefault="00473828" w:rsidP="00473828">
      <w:pPr>
        <w:spacing w:line="480" w:lineRule="auto"/>
        <w:jc w:val="both"/>
        <w:rPr>
          <w:rFonts w:ascii="Times New Roman" w:eastAsia="Calibri" w:hAnsi="Times New Roman" w:cs="Times New Roman"/>
          <w:sz w:val="24"/>
          <w:szCs w:val="24"/>
        </w:rPr>
      </w:pPr>
      <w:r w:rsidRPr="00473828">
        <w:rPr>
          <w:rFonts w:ascii="Times New Roman" w:eastAsia="Calibri" w:hAnsi="Times New Roman" w:cs="Times New Roman"/>
          <w:sz w:val="24"/>
          <w:szCs w:val="24"/>
        </w:rPr>
        <w:t xml:space="preserve">where j is the number of stocks in each category i (with futures or without futures), W is the weight of each stock within its own category, and R is the price returns (Daily or Weekly). </w:t>
      </w:r>
    </w:p>
    <w:p w:rsidR="00513DBF" w:rsidRPr="00473828" w:rsidRDefault="00513DBF" w:rsidP="00513DBF">
      <w:pPr>
        <w:spacing w:line="480" w:lineRule="auto"/>
        <w:jc w:val="both"/>
        <w:rPr>
          <w:rFonts w:ascii="Times New Roman" w:hAnsi="Times New Roman" w:cs="Times New Roman"/>
          <w:sz w:val="24"/>
          <w:szCs w:val="24"/>
        </w:rPr>
      </w:pPr>
      <w:r>
        <w:rPr>
          <w:rFonts w:ascii="Times New Roman" w:eastAsia="Calibri" w:hAnsi="Times New Roman" w:cs="Times New Roman"/>
          <w:sz w:val="24"/>
          <w:szCs w:val="24"/>
        </w:rPr>
        <w:t>We have taken KSE 100 index as a proxy of market because it is the oldest index of Pakistan and considered as the representative of all of the major sectors. KSE instigated with a fifty shares index. With the passage of time, the market grew and a representative index was required. In 1991, KSE 100 index was introduced</w:t>
      </w:r>
      <w:r w:rsidR="00BD4AD9">
        <w:rPr>
          <w:rFonts w:ascii="Times New Roman" w:eastAsia="Calibri" w:hAnsi="Times New Roman" w:cs="Times New Roman"/>
          <w:sz w:val="24"/>
          <w:szCs w:val="24"/>
        </w:rPr>
        <w:t xml:space="preserve">. </w:t>
      </w:r>
      <w:r w:rsidR="00BD4AD9" w:rsidRPr="00BD4AD9">
        <w:rPr>
          <w:rFonts w:ascii="Times New Roman" w:eastAsia="Calibri" w:hAnsi="Times New Roman" w:cs="Times New Roman"/>
          <w:sz w:val="24"/>
          <w:szCs w:val="24"/>
        </w:rPr>
        <w:t xml:space="preserve">Although the Pakistan Stock Exchange is comprised of 35 sectors and 572 </w:t>
      </w:r>
      <w:r w:rsidR="00BD4AD9">
        <w:rPr>
          <w:rFonts w:ascii="Times New Roman" w:eastAsia="Calibri" w:hAnsi="Times New Roman" w:cs="Times New Roman"/>
          <w:sz w:val="24"/>
          <w:szCs w:val="24"/>
        </w:rPr>
        <w:t xml:space="preserve">listed </w:t>
      </w:r>
      <w:r w:rsidR="00BD4AD9" w:rsidRPr="00BD4AD9">
        <w:rPr>
          <w:rFonts w:ascii="Times New Roman" w:eastAsia="Calibri" w:hAnsi="Times New Roman" w:cs="Times New Roman"/>
          <w:sz w:val="24"/>
          <w:szCs w:val="24"/>
        </w:rPr>
        <w:t>companies</w:t>
      </w:r>
      <w:r w:rsidR="00BD4AD9">
        <w:rPr>
          <w:rFonts w:ascii="Times New Roman" w:eastAsia="Calibri" w:hAnsi="Times New Roman" w:cs="Times New Roman"/>
          <w:sz w:val="24"/>
          <w:szCs w:val="24"/>
        </w:rPr>
        <w:t>, the performance of exchange is usually assessed by KSE-100 index which is acknowledged as the best performing index of Asian market in 2016 (</w:t>
      </w:r>
      <w:r w:rsidR="003C2B03">
        <w:rPr>
          <w:rFonts w:ascii="Times New Roman" w:eastAsia="Calibri" w:hAnsi="Times New Roman" w:cs="Times New Roman"/>
          <w:sz w:val="24"/>
          <w:szCs w:val="24"/>
        </w:rPr>
        <w:t xml:space="preserve">Naqvi, Mirza, Azeem and Rizvi, 2017). </w:t>
      </w:r>
      <w:r w:rsidR="009E25D3">
        <w:rPr>
          <w:rFonts w:ascii="Times New Roman" w:eastAsia="Calibri" w:hAnsi="Times New Roman" w:cs="Times New Roman"/>
          <w:sz w:val="24"/>
          <w:szCs w:val="24"/>
        </w:rPr>
        <w:t>I</w:t>
      </w:r>
      <w:r>
        <w:rPr>
          <w:rFonts w:ascii="Times New Roman" w:eastAsia="Calibri" w:hAnsi="Times New Roman" w:cs="Times New Roman"/>
          <w:sz w:val="24"/>
          <w:szCs w:val="24"/>
        </w:rPr>
        <w:t xml:space="preserve">t remains to be the most generally accepted measure of </w:t>
      </w:r>
      <w:r>
        <w:rPr>
          <w:rFonts w:ascii="Times New Roman" w:eastAsia="Calibri" w:hAnsi="Times New Roman" w:cs="Times New Roman"/>
          <w:sz w:val="24"/>
          <w:szCs w:val="24"/>
        </w:rPr>
        <w:lastRenderedPageBreak/>
        <w:t xml:space="preserve">exchange performance. Also, all the futures traded till date have always been a part of KSE 100 Index. </w:t>
      </w:r>
    </w:p>
    <w:p w:rsidR="00473828" w:rsidRPr="00473828" w:rsidRDefault="002442DA" w:rsidP="00473828">
      <w:pPr>
        <w:spacing w:line="480" w:lineRule="auto"/>
        <w:jc w:val="both"/>
        <w:rPr>
          <w:rFonts w:ascii="Times New Roman" w:hAnsi="Times New Roman" w:cs="Times New Roman"/>
          <w:sz w:val="24"/>
          <w:szCs w:val="24"/>
        </w:rPr>
      </w:pPr>
      <w:r>
        <w:rPr>
          <w:rFonts w:ascii="Times New Roman" w:hAnsi="Times New Roman" w:cs="Times New Roman"/>
          <w:sz w:val="24"/>
          <w:szCs w:val="24"/>
        </w:rPr>
        <w:t>W</w:t>
      </w:r>
      <w:r w:rsidR="00112097">
        <w:rPr>
          <w:rFonts w:ascii="Times New Roman" w:hAnsi="Times New Roman" w:cs="Times New Roman"/>
          <w:sz w:val="24"/>
          <w:szCs w:val="24"/>
        </w:rPr>
        <w:t>e have estimated the</w:t>
      </w:r>
      <w:r w:rsidR="00473828" w:rsidRPr="00473828">
        <w:rPr>
          <w:rFonts w:ascii="Times New Roman" w:hAnsi="Times New Roman" w:cs="Times New Roman"/>
          <w:sz w:val="24"/>
          <w:szCs w:val="24"/>
        </w:rPr>
        <w:t xml:space="preserve"> Excess returns of both portfolios by Assuming KSE 100 as a proxy of market from the following equation:</w:t>
      </w:r>
    </w:p>
    <w:p w:rsidR="00473828" w:rsidRPr="00473828" w:rsidRDefault="008C0B72" w:rsidP="00473828">
      <w:pPr>
        <w:spacing w:line="480" w:lineRule="auto"/>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ER</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PFR</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Rf</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Rf</m:t>
                </m:r>
              </m:e>
              <m:sub>
                <m:r>
                  <w:rPr>
                    <w:rFonts w:ascii="Cambria Math" w:hAnsi="Cambria Math" w:cs="Times New Roman"/>
                    <w:sz w:val="24"/>
                    <w:szCs w:val="24"/>
                  </w:rPr>
                  <m:t>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i,t</m:t>
            </m:r>
          </m:sub>
        </m:sSub>
      </m:oMath>
      <w:r w:rsidR="00473828" w:rsidRPr="00473828">
        <w:rPr>
          <w:rFonts w:ascii="Times New Roman" w:eastAsiaTheme="minorEastAsia" w:hAnsi="Times New Roman" w:cs="Times New Roman"/>
          <w:sz w:val="24"/>
          <w:szCs w:val="24"/>
        </w:rPr>
        <w:t xml:space="preserve">                                         (2)</w:t>
      </w:r>
    </w:p>
    <w:p w:rsidR="00473828" w:rsidRPr="00473828" w:rsidRDefault="00473828" w:rsidP="00473828">
      <w:pPr>
        <w:spacing w:line="480" w:lineRule="auto"/>
        <w:jc w:val="both"/>
        <w:rPr>
          <w:rFonts w:ascii="Times New Roman" w:hAnsi="Times New Roman" w:cs="Times New Roman"/>
          <w:sz w:val="24"/>
          <w:szCs w:val="24"/>
        </w:rPr>
      </w:pPr>
      <w:r w:rsidRPr="00473828">
        <w:rPr>
          <w:rFonts w:ascii="Times New Roman" w:hAnsi="Times New Roman" w:cs="Times New Roman"/>
          <w:sz w:val="24"/>
          <w:szCs w:val="24"/>
        </w:rPr>
        <w:t xml:space="preserve">The above model, however, has been plagued with no inclusion of some of the important factors, which can also play a significant role in determining returns.  Therefore, Fama-French (1992) augmented the CAPM and introduced three-factor model. CAPM uses only one factor i.e. market risk to evaluate stock or portfolio returns. It was an outstanding breakthrough in finance but had several limitations. It did not facilitate in explaining market returns of particularly those portfolios that drifted far away from the center of the market. As Fama-French argued that beta in CAPM merely elucidates 70% of its actual returns. They depicted that beta did not evaluate the returns of all equity portfolios. And discovered two additional factors: size (market capitalization) and value (book/market ratio) to be included along with beta in the model to determine returns. </w:t>
      </w:r>
    </w:p>
    <w:p w:rsidR="00473828" w:rsidRPr="00473828" w:rsidRDefault="008C0B72" w:rsidP="00473828">
      <w:pPr>
        <w:spacing w:line="480" w:lineRule="auto"/>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ER</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PFR</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Rf</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im</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Rf</m:t>
                </m:r>
              </m:e>
              <m:sub>
                <m:r>
                  <w:rPr>
                    <w:rFonts w:ascii="Cambria Math" w:hAnsi="Cambria Math" w:cs="Times New Roman"/>
                    <w:sz w:val="24"/>
                    <w:szCs w:val="24"/>
                  </w:rPr>
                  <m:t>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is</m:t>
            </m:r>
          </m:sub>
        </m:sSub>
        <m:sSub>
          <m:sSubPr>
            <m:ctrlPr>
              <w:rPr>
                <w:rFonts w:ascii="Cambria Math" w:hAnsi="Cambria Math" w:cs="Times New Roman"/>
                <w:i/>
                <w:sz w:val="24"/>
                <w:szCs w:val="24"/>
              </w:rPr>
            </m:ctrlPr>
          </m:sSubPr>
          <m:e>
            <m:r>
              <w:rPr>
                <w:rFonts w:ascii="Cambria Math" w:hAnsi="Cambria Math" w:cs="Times New Roman"/>
                <w:sz w:val="24"/>
                <w:szCs w:val="24"/>
              </w:rPr>
              <m:t>SMB</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ih</m:t>
            </m:r>
          </m:sub>
        </m:sSub>
        <m:sSub>
          <m:sSubPr>
            <m:ctrlPr>
              <w:rPr>
                <w:rFonts w:ascii="Cambria Math" w:hAnsi="Cambria Math" w:cs="Times New Roman"/>
                <w:i/>
                <w:sz w:val="24"/>
                <w:szCs w:val="24"/>
              </w:rPr>
            </m:ctrlPr>
          </m:sSubPr>
          <m:e>
            <m:r>
              <w:rPr>
                <w:rFonts w:ascii="Cambria Math" w:hAnsi="Cambria Math" w:cs="Times New Roman"/>
                <w:sz w:val="24"/>
                <w:szCs w:val="24"/>
              </w:rPr>
              <m:t>HML</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i,t</m:t>
            </m:r>
          </m:sub>
        </m:sSub>
      </m:oMath>
      <w:r w:rsidR="00E41E81">
        <w:rPr>
          <w:rFonts w:ascii="Times New Roman" w:eastAsiaTheme="minorEastAsia" w:hAnsi="Times New Roman" w:cs="Times New Roman"/>
          <w:sz w:val="24"/>
          <w:szCs w:val="24"/>
        </w:rPr>
        <w:t xml:space="preserve">   (3)</w:t>
      </w:r>
    </w:p>
    <w:p w:rsidR="00473828" w:rsidRPr="00473828" w:rsidRDefault="00473828" w:rsidP="00473828">
      <w:pPr>
        <w:spacing w:line="480" w:lineRule="auto"/>
        <w:jc w:val="both"/>
        <w:rPr>
          <w:rFonts w:ascii="Times New Roman" w:eastAsiaTheme="minorEastAsia" w:hAnsi="Times New Roman" w:cs="Times New Roman"/>
          <w:sz w:val="24"/>
          <w:szCs w:val="24"/>
        </w:rPr>
      </w:pPr>
      <w:r w:rsidRPr="00473828">
        <w:rPr>
          <w:rFonts w:ascii="Times New Roman" w:eastAsiaTheme="minorEastAsia" w:hAnsi="Times New Roman" w:cs="Times New Roman"/>
          <w:sz w:val="24"/>
          <w:szCs w:val="24"/>
        </w:rPr>
        <w:t xml:space="preserve">Here, SMB stands for Small Market Capitalization minus Big Market Capitalization. It evaluates excess returns of small cap over large cap. SMB also suggests that if a portfolio has less large-cap companies and more small-cap, then it ought to beat the market over the long run. However, HML stands for High minus Low. “High” denotes those companies, which have high book/market ratio, whereas, “low” indicates companies with low book/market ratio. HML factor is also known as “value factor”. Stocks with high book to market value ratio are value stock and </w:t>
      </w:r>
      <w:r w:rsidRPr="00473828">
        <w:rPr>
          <w:rFonts w:ascii="Times New Roman" w:eastAsiaTheme="minorEastAsia" w:hAnsi="Times New Roman" w:cs="Times New Roman"/>
          <w:sz w:val="24"/>
          <w:szCs w:val="24"/>
        </w:rPr>
        <w:lastRenderedPageBreak/>
        <w:t xml:space="preserve">growth stocks have low book to market ratio. HML evaluates the past excess returns of value stocks over the growth stocks. </w:t>
      </w:r>
    </w:p>
    <w:p w:rsidR="00473828" w:rsidRPr="00473828" w:rsidRDefault="00473828" w:rsidP="00473828">
      <w:pPr>
        <w:spacing w:line="480" w:lineRule="auto"/>
        <w:jc w:val="both"/>
        <w:rPr>
          <w:rFonts w:ascii="Times New Roman" w:eastAsiaTheme="minorEastAsia" w:hAnsi="Times New Roman" w:cs="Times New Roman"/>
          <w:sz w:val="24"/>
          <w:szCs w:val="24"/>
        </w:rPr>
      </w:pPr>
      <w:r w:rsidRPr="00473828">
        <w:rPr>
          <w:rFonts w:ascii="Times New Roman" w:eastAsiaTheme="minorEastAsia" w:hAnsi="Times New Roman" w:cs="Times New Roman"/>
          <w:sz w:val="24"/>
          <w:szCs w:val="24"/>
        </w:rPr>
        <w:t>After few years, Carhart (1997) added another factor known as momentum in Fama-French’s three-factor model. Momentum in the stock is defined as the propensity for the stock price to keep on escalating if it is going up and continue diminishing trend if it is going down. Carhart</w:t>
      </w:r>
    </w:p>
    <w:p w:rsidR="00473828" w:rsidRPr="00473828" w:rsidRDefault="008C0B72" w:rsidP="00473828">
      <w:pPr>
        <w:spacing w:line="480" w:lineRule="auto"/>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ER</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PFR</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Rf</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im</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Rf</m:t>
                </m:r>
              </m:e>
              <m:sub>
                <m:r>
                  <w:rPr>
                    <w:rFonts w:ascii="Cambria Math" w:hAnsi="Cambria Math" w:cs="Times New Roman"/>
                    <w:sz w:val="24"/>
                    <w:szCs w:val="24"/>
                  </w:rPr>
                  <m:t>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is</m:t>
            </m:r>
          </m:sub>
        </m:sSub>
        <m:sSub>
          <m:sSubPr>
            <m:ctrlPr>
              <w:rPr>
                <w:rFonts w:ascii="Cambria Math" w:hAnsi="Cambria Math" w:cs="Times New Roman"/>
                <w:i/>
                <w:sz w:val="24"/>
                <w:szCs w:val="24"/>
              </w:rPr>
            </m:ctrlPr>
          </m:sSubPr>
          <m:e>
            <m:r>
              <w:rPr>
                <w:rFonts w:ascii="Cambria Math" w:hAnsi="Cambria Math" w:cs="Times New Roman"/>
                <w:sz w:val="24"/>
                <w:szCs w:val="24"/>
              </w:rPr>
              <m:t>SMB</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ih</m:t>
            </m:r>
          </m:sub>
        </m:sSub>
        <m:sSub>
          <m:sSubPr>
            <m:ctrlPr>
              <w:rPr>
                <w:rFonts w:ascii="Cambria Math" w:hAnsi="Cambria Math" w:cs="Times New Roman"/>
                <w:i/>
                <w:sz w:val="24"/>
                <w:szCs w:val="24"/>
              </w:rPr>
            </m:ctrlPr>
          </m:sSubPr>
          <m:e>
            <m:r>
              <w:rPr>
                <w:rFonts w:ascii="Cambria Math" w:hAnsi="Cambria Math" w:cs="Times New Roman"/>
                <w:sz w:val="24"/>
                <w:szCs w:val="24"/>
              </w:rPr>
              <m:t>HML</m:t>
            </m:r>
          </m:e>
          <m:sub>
            <m:r>
              <w:rPr>
                <w:rFonts w:ascii="Cambria Math" w:hAnsi="Cambria Math" w:cs="Times New Roman"/>
                <w:sz w:val="24"/>
                <w:szCs w:val="24"/>
              </w:rPr>
              <m:t>t</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iu</m:t>
            </m:r>
          </m:sub>
        </m:sSub>
        <m:sSub>
          <m:sSubPr>
            <m:ctrlPr>
              <w:rPr>
                <w:rFonts w:ascii="Cambria Math" w:hAnsi="Cambria Math" w:cs="Times New Roman"/>
                <w:i/>
                <w:sz w:val="24"/>
                <w:szCs w:val="24"/>
              </w:rPr>
            </m:ctrlPr>
          </m:sSubPr>
          <m:e>
            <m:r>
              <w:rPr>
                <w:rFonts w:ascii="Cambria Math" w:hAnsi="Cambria Math" w:cs="Times New Roman"/>
                <w:sz w:val="24"/>
                <w:szCs w:val="24"/>
              </w:rPr>
              <m:t>UMD</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i,t</m:t>
            </m:r>
          </m:sub>
        </m:sSub>
      </m:oMath>
      <w:r w:rsidR="00E41E81">
        <w:rPr>
          <w:rFonts w:ascii="Times New Roman" w:eastAsiaTheme="minorEastAsia" w:hAnsi="Times New Roman" w:cs="Times New Roman"/>
          <w:sz w:val="24"/>
          <w:szCs w:val="24"/>
        </w:rPr>
        <w:t>(4)</w:t>
      </w:r>
    </w:p>
    <w:p w:rsidR="00473828" w:rsidRDefault="00473828" w:rsidP="00473828">
      <w:pPr>
        <w:spacing w:line="480" w:lineRule="auto"/>
        <w:jc w:val="both"/>
        <w:rPr>
          <w:rFonts w:ascii="Times New Roman" w:eastAsiaTheme="minorEastAsia" w:hAnsi="Times New Roman" w:cs="Times New Roman"/>
          <w:sz w:val="24"/>
          <w:szCs w:val="24"/>
        </w:rPr>
      </w:pPr>
      <w:r w:rsidRPr="00473828">
        <w:rPr>
          <w:rFonts w:ascii="Times New Roman" w:eastAsiaTheme="minorEastAsia" w:hAnsi="Times New Roman" w:cs="Times New Roman"/>
          <w:sz w:val="24"/>
          <w:szCs w:val="24"/>
        </w:rPr>
        <w:t xml:space="preserve">Here, UMD stands for up minus down and it depicts the difference between the portfolio returns of high market gearing and low market gearing. WML factor has also been used as a momentum factor and it stands for winner minus loser. It also helps in evaluating the stock price trends. </w:t>
      </w:r>
    </w:p>
    <w:p w:rsidR="002E000F" w:rsidRPr="002E000F" w:rsidRDefault="002E000F" w:rsidP="00473828">
      <w:pPr>
        <w:spacing w:line="480" w:lineRule="auto"/>
        <w:jc w:val="both"/>
        <w:rPr>
          <w:rFonts w:ascii="Times New Roman" w:eastAsiaTheme="minorEastAsia" w:hAnsi="Times New Roman" w:cs="Times New Roman"/>
          <w:b/>
          <w:sz w:val="24"/>
          <w:szCs w:val="24"/>
        </w:rPr>
      </w:pPr>
      <w:r w:rsidRPr="002E000F">
        <w:rPr>
          <w:rFonts w:ascii="Times New Roman" w:eastAsiaTheme="minorEastAsia" w:hAnsi="Times New Roman" w:cs="Times New Roman"/>
          <w:b/>
          <w:sz w:val="24"/>
          <w:szCs w:val="24"/>
        </w:rPr>
        <w:t>A Novel Approach to Capture Size and Value Effect</w:t>
      </w:r>
    </w:p>
    <w:p w:rsidR="00473828" w:rsidRPr="00473828" w:rsidRDefault="002E000F" w:rsidP="00473828">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w:t>
      </w:r>
      <w:r w:rsidR="00473828" w:rsidRPr="00473828">
        <w:rPr>
          <w:rFonts w:ascii="Times New Roman" w:eastAsiaTheme="minorEastAsia" w:hAnsi="Times New Roman" w:cs="Times New Roman"/>
          <w:sz w:val="24"/>
          <w:szCs w:val="24"/>
        </w:rPr>
        <w:t>oth Fama-French and Carhart have used cumbersome methodology of constructing sorting portfolios to determine SMB or HML factor premiums. In Pakistani context, where the data is not available in a form which would be helfpful in constructing sorting portfolios efficiently and constructing them on regular intervals is quite ambitious and complex task. We come up with the very simple but novel idea in this context and that is to introduce a proxy of Size and Value as control variable in our main regression. The advantage of introducing the proxies of different factor in main regression are many folds. It would help us in isolating the effect of Size and Value categorization of a particular stock from the excess return it generates over and above the benchmark. It will also reduce the omitting variable bias which in the wake of newly identified factors is becoming a major challenge to prove the explanatory power of excess returns regression.</w:t>
      </w:r>
    </w:p>
    <w:p w:rsidR="00473828" w:rsidRPr="00473828" w:rsidRDefault="00473828" w:rsidP="00473828">
      <w:pPr>
        <w:spacing w:line="480" w:lineRule="auto"/>
        <w:jc w:val="both"/>
        <w:rPr>
          <w:rFonts w:ascii="Times New Roman" w:eastAsiaTheme="minorEastAsia" w:hAnsi="Times New Roman" w:cs="Times New Roman"/>
          <w:sz w:val="24"/>
          <w:szCs w:val="24"/>
        </w:rPr>
      </w:pPr>
      <w:r w:rsidRPr="00473828">
        <w:rPr>
          <w:rFonts w:ascii="Times New Roman" w:eastAsiaTheme="minorEastAsia" w:hAnsi="Times New Roman" w:cs="Times New Roman"/>
          <w:sz w:val="24"/>
          <w:szCs w:val="24"/>
        </w:rPr>
        <w:t>With this inclusion the final model we intend to use in this study would be:</w:t>
      </w:r>
    </w:p>
    <w:p w:rsidR="00473828" w:rsidRPr="00473828" w:rsidRDefault="008C0B72" w:rsidP="00473828">
      <w:pPr>
        <w:spacing w:line="480" w:lineRule="auto"/>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ER</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PFR</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Rf</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im</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Rm</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Rf</m:t>
                </m:r>
              </m:e>
              <m:sub>
                <m:r>
                  <w:rPr>
                    <w:rFonts w:ascii="Cambria Math" w:hAnsi="Cambria Math" w:cs="Times New Roman"/>
                    <w:sz w:val="24"/>
                    <w:szCs w:val="24"/>
                  </w:rPr>
                  <m:t>t</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is</m:t>
            </m:r>
          </m:sub>
        </m:sSub>
        <m:sSub>
          <m:sSubPr>
            <m:ctrlPr>
              <w:rPr>
                <w:rFonts w:ascii="Cambria Math" w:hAnsi="Cambria Math" w:cs="Times New Roman"/>
                <w:i/>
                <w:sz w:val="24"/>
                <w:szCs w:val="24"/>
              </w:rPr>
            </m:ctrlPr>
          </m:sSubPr>
          <m:e>
            <m:r>
              <w:rPr>
                <w:rFonts w:ascii="Cambria Math" w:hAnsi="Cambria Math" w:cs="Times New Roman"/>
                <w:sz w:val="24"/>
                <w:szCs w:val="24"/>
              </w:rPr>
              <m:t>Size</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ih</m:t>
            </m:r>
          </m:sub>
        </m:sSub>
        <m:sSub>
          <m:sSubPr>
            <m:ctrlPr>
              <w:rPr>
                <w:rFonts w:ascii="Cambria Math" w:hAnsi="Cambria Math" w:cs="Times New Roman"/>
                <w:i/>
                <w:sz w:val="24"/>
                <w:szCs w:val="24"/>
              </w:rPr>
            </m:ctrlPr>
          </m:sSubPr>
          <m:e>
            <m:r>
              <w:rPr>
                <w:rFonts w:ascii="Cambria Math" w:hAnsi="Cambria Math" w:cs="Times New Roman"/>
                <w:sz w:val="24"/>
                <w:szCs w:val="24"/>
              </w:rPr>
              <m:t>Value</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i,t</m:t>
            </m:r>
          </m:sub>
        </m:sSub>
      </m:oMath>
      <w:r w:rsidR="00E41E81">
        <w:rPr>
          <w:rFonts w:ascii="Times New Roman" w:eastAsia="Calibri" w:hAnsi="Times New Roman" w:cs="Times New Roman"/>
          <w:sz w:val="24"/>
          <w:szCs w:val="24"/>
        </w:rPr>
        <w:t>(5</w:t>
      </w:r>
      <w:r w:rsidR="00473828" w:rsidRPr="00473828">
        <w:rPr>
          <w:rFonts w:ascii="Times New Roman" w:eastAsia="Calibri" w:hAnsi="Times New Roman" w:cs="Times New Roman"/>
          <w:sz w:val="24"/>
          <w:szCs w:val="24"/>
        </w:rPr>
        <w:t>)</w:t>
      </w:r>
    </w:p>
    <w:p w:rsidR="00473828" w:rsidRPr="00473828" w:rsidRDefault="00473828" w:rsidP="00B51D73">
      <w:pPr>
        <w:spacing w:line="480" w:lineRule="auto"/>
        <w:jc w:val="both"/>
        <w:rPr>
          <w:rFonts w:ascii="Times New Roman" w:eastAsia="Calibri" w:hAnsi="Times New Roman" w:cs="Times New Roman"/>
          <w:sz w:val="24"/>
          <w:szCs w:val="24"/>
        </w:rPr>
      </w:pPr>
      <w:r w:rsidRPr="00473828">
        <w:rPr>
          <w:rFonts w:ascii="Times New Roman" w:hAnsi="Times New Roman" w:cs="Times New Roman"/>
          <w:sz w:val="24"/>
          <w:szCs w:val="24"/>
        </w:rPr>
        <w:t xml:space="preserve">Also, the volatility of Excess Returns will be estimated using Market Model as mean equation of both portfolios through Univariate Symmetric GARCH as well as Univariate Asymmetric GARCH models. </w:t>
      </w:r>
    </w:p>
    <w:p w:rsidR="00473828" w:rsidRPr="00473828" w:rsidRDefault="00473828" w:rsidP="00473828">
      <w:pPr>
        <w:spacing w:line="480" w:lineRule="auto"/>
        <w:rPr>
          <w:rFonts w:ascii="Times New Roman" w:eastAsia="Calibri" w:hAnsi="Times New Roman" w:cs="Times New Roman"/>
          <w:sz w:val="24"/>
          <w:szCs w:val="24"/>
        </w:rPr>
      </w:pPr>
      <w:r w:rsidRPr="00473828">
        <w:rPr>
          <w:rFonts w:ascii="Times New Roman" w:eastAsia="Calibri" w:hAnsi="Times New Roman" w:cs="Times New Roman"/>
          <w:sz w:val="24"/>
          <w:szCs w:val="24"/>
        </w:rPr>
        <w:t>For excess returns, we have used the following GARCH (1, 1) models.</w:t>
      </w:r>
    </w:p>
    <w:p w:rsidR="00473828" w:rsidRPr="00473828" w:rsidRDefault="008C0B72" w:rsidP="00473828">
      <w:pPr>
        <w:spacing w:line="480" w:lineRule="auto"/>
        <w:rPr>
          <w:rFonts w:ascii="Times New Roman" w:eastAsia="Calibri" w:hAnsi="Times New Roman" w:cs="Times New Roman"/>
          <w:sz w:val="24"/>
          <w:szCs w:val="24"/>
        </w:rPr>
      </w:pPr>
      <m:oMath>
        <m:sSub>
          <m:sSubPr>
            <m:ctrlPr>
              <w:rPr>
                <w:rFonts w:ascii="Cambria Math" w:eastAsia="Calibri" w:hAnsi="Cambria Math" w:cs="Times New Roman"/>
                <w:sz w:val="24"/>
                <w:szCs w:val="24"/>
              </w:rPr>
            </m:ctrlPr>
          </m:sSubPr>
          <m:e>
            <m:r>
              <w:rPr>
                <w:rFonts w:ascii="Cambria Math" w:eastAsia="Calibri" w:hAnsi="Cambria Math" w:cs="Times New Roman"/>
                <w:sz w:val="24"/>
                <w:szCs w:val="24"/>
              </w:rPr>
              <m:t>ER</m:t>
            </m:r>
          </m:e>
          <m:sub>
            <m:r>
              <w:rPr>
                <w:rFonts w:ascii="Cambria Math" w:eastAsia="Calibri" w:hAnsi="Cambria Math" w:cs="Times New Roman"/>
                <w:sz w:val="24"/>
                <w:szCs w:val="24"/>
              </w:rPr>
              <m:t>i</m:t>
            </m:r>
            <m:r>
              <m:rPr>
                <m:sty m:val="p"/>
              </m:rPr>
              <w:rPr>
                <w:rFonts w:ascii="Cambria Math" w:eastAsia="Calibri" w:hAnsi="Cambria Math" w:cs="Times New Roman"/>
                <w:sz w:val="24"/>
                <w:szCs w:val="24"/>
              </w:rPr>
              <m:t>,</m:t>
            </m:r>
            <m:r>
              <w:rPr>
                <w:rFonts w:ascii="Cambria Math" w:eastAsia="Calibri" w:hAnsi="Cambria Math" w:cs="Times New Roman"/>
                <w:sz w:val="24"/>
                <w:szCs w:val="24"/>
              </w:rPr>
              <m:t>t</m:t>
            </m:r>
          </m:sub>
        </m:sSub>
        <m:r>
          <m:rPr>
            <m:sty m:val="p"/>
          </m:rP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α</m:t>
            </m:r>
          </m:e>
          <m:sub>
            <m:r>
              <w:rPr>
                <w:rFonts w:ascii="Cambria Math" w:eastAsia="Calibri" w:hAnsi="Cambria Math" w:cs="Times New Roman"/>
                <w:sz w:val="24"/>
                <w:szCs w:val="24"/>
              </w:rPr>
              <m:t>i</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β</m:t>
            </m:r>
          </m:e>
          <m:sub>
            <m:r>
              <w:rPr>
                <w:rFonts w:ascii="Cambria Math" w:eastAsia="Calibri" w:hAnsi="Cambria Math" w:cs="Times New Roman"/>
                <w:sz w:val="24"/>
                <w:szCs w:val="24"/>
              </w:rPr>
              <m:t>im</m:t>
            </m:r>
          </m:sub>
        </m:sSub>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Rm</m:t>
                </m:r>
              </m:e>
              <m:sub>
                <m:r>
                  <w:rPr>
                    <w:rFonts w:ascii="Cambria Math" w:eastAsia="Calibri" w:hAnsi="Cambria Math" w:cs="Times New Roman"/>
                    <w:sz w:val="24"/>
                    <w:szCs w:val="24"/>
                  </w:rPr>
                  <m:t>t</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Rf</m:t>
                </m:r>
              </m:e>
              <m:sub>
                <m:r>
                  <w:rPr>
                    <w:rFonts w:ascii="Cambria Math" w:eastAsia="Calibri" w:hAnsi="Cambria Math" w:cs="Times New Roman"/>
                    <w:sz w:val="24"/>
                    <w:szCs w:val="24"/>
                  </w:rPr>
                  <m:t>t</m:t>
                </m:r>
              </m:sub>
            </m:sSub>
          </m:e>
        </m:d>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ε</m:t>
            </m:r>
          </m:e>
          <m:sub>
            <m:r>
              <w:rPr>
                <w:rFonts w:ascii="Cambria Math" w:eastAsia="Calibri" w:hAnsi="Cambria Math" w:cs="Times New Roman"/>
                <w:sz w:val="24"/>
                <w:szCs w:val="24"/>
              </w:rPr>
              <m:t>i,t</m:t>
            </m:r>
          </m:sub>
        </m:sSub>
      </m:oMath>
      <w:r w:rsidR="00E41E81">
        <w:rPr>
          <w:rFonts w:ascii="Times New Roman" w:eastAsia="Calibri" w:hAnsi="Times New Roman" w:cs="Times New Roman"/>
          <w:sz w:val="24"/>
          <w:szCs w:val="24"/>
        </w:rPr>
        <w:t xml:space="preserve">                              (6</w:t>
      </w:r>
      <w:r w:rsidR="00473828" w:rsidRPr="00473828">
        <w:rPr>
          <w:rFonts w:ascii="Times New Roman" w:eastAsia="Calibri"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sub>
        </m:sSub>
        <m:r>
          <m:rPr>
            <m:sty m:val="p"/>
          </m:rPr>
          <w:rPr>
            <w:rFonts w:ascii="Cambria Math" w:hAnsi="Cambria Math" w:cs="Times New Roman"/>
            <w:sz w:val="24"/>
            <w:szCs w:val="24"/>
          </w:rPr>
          <m:t>=ω+</m:t>
        </m:r>
        <m:sSubSup>
          <m:sSubSupPr>
            <m:ctrlPr>
              <w:rPr>
                <w:rFonts w:ascii="Cambria Math" w:hAnsi="Cambria Math" w:cs="Times New Roman"/>
                <w:sz w:val="24"/>
                <w:szCs w:val="24"/>
              </w:rPr>
            </m:ctrlPr>
          </m:sSubSupPr>
          <m:e>
            <m:r>
              <w:rPr>
                <w:rFonts w:ascii="Cambria Math" w:hAnsi="Cambria Math" w:cs="Times New Roman"/>
                <w:sz w:val="24"/>
                <w:szCs w:val="24"/>
              </w:rPr>
              <m:t>a.ε</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-1</m:t>
            </m:r>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b.H</m:t>
            </m:r>
          </m:e>
          <m:sub>
            <m:r>
              <m:rPr>
                <m:sty m:val="p"/>
              </m:rPr>
              <w:rPr>
                <w:rFonts w:ascii="Cambria Math" w:hAnsi="Cambria Math" w:cs="Times New Roman"/>
                <w:sz w:val="24"/>
                <w:szCs w:val="24"/>
              </w:rPr>
              <m:t>i,t-1</m:t>
            </m:r>
          </m:sub>
        </m:sSub>
      </m:oMath>
      <w:r w:rsidR="00E41E81">
        <w:rPr>
          <w:rFonts w:ascii="Times New Roman" w:eastAsia="Calibri" w:hAnsi="Times New Roman" w:cs="Times New Roman"/>
          <w:sz w:val="24"/>
          <w:szCs w:val="24"/>
        </w:rPr>
        <w:t xml:space="preserve">                              (7</w:t>
      </w:r>
      <w:r w:rsidR="00473828" w:rsidRPr="00473828">
        <w:rPr>
          <w:rFonts w:ascii="Times New Roman" w:eastAsia="Calibri" w:hAnsi="Times New Roman" w:cs="Times New Roman"/>
          <w:sz w:val="24"/>
          <w:szCs w:val="24"/>
        </w:rPr>
        <w:t>)</w:t>
      </w:r>
    </w:p>
    <w:p w:rsidR="00473828" w:rsidRPr="00473828" w:rsidRDefault="008C0B72" w:rsidP="00473828">
      <w:pPr>
        <w:spacing w:line="480" w:lineRule="auto"/>
        <w:rPr>
          <w:rFonts w:ascii="Times New Roman" w:eastAsia="Calibri" w:hAnsi="Times New Roman" w:cs="Times New Roman"/>
          <w:sz w:val="24"/>
          <w:szCs w:val="24"/>
        </w:rPr>
      </w:pPr>
      <m:oMath>
        <m:sSub>
          <m:sSubPr>
            <m:ctrlPr>
              <w:rPr>
                <w:rFonts w:ascii="Cambria Math" w:eastAsia="Calibri" w:hAnsi="Cambria Math" w:cs="Times New Roman"/>
                <w:sz w:val="24"/>
                <w:szCs w:val="24"/>
              </w:rPr>
            </m:ctrlPr>
          </m:sSubPr>
          <m:e>
            <m:r>
              <w:rPr>
                <w:rFonts w:ascii="Cambria Math" w:eastAsia="Calibri" w:hAnsi="Cambria Math" w:cs="Times New Roman"/>
                <w:sz w:val="24"/>
                <w:szCs w:val="24"/>
              </w:rPr>
              <m:t>ER</m:t>
            </m:r>
          </m:e>
          <m:sub>
            <m:r>
              <w:rPr>
                <w:rFonts w:ascii="Cambria Math" w:eastAsia="Calibri" w:hAnsi="Cambria Math" w:cs="Times New Roman"/>
                <w:sz w:val="24"/>
                <w:szCs w:val="24"/>
              </w:rPr>
              <m:t>i</m:t>
            </m:r>
            <m:r>
              <m:rPr>
                <m:sty m:val="p"/>
              </m:rPr>
              <w:rPr>
                <w:rFonts w:ascii="Cambria Math" w:eastAsia="Calibri" w:hAnsi="Cambria Math" w:cs="Times New Roman"/>
                <w:sz w:val="24"/>
                <w:szCs w:val="24"/>
              </w:rPr>
              <m:t>,</m:t>
            </m:r>
            <m:r>
              <w:rPr>
                <w:rFonts w:ascii="Cambria Math" w:eastAsia="Calibri" w:hAnsi="Cambria Math" w:cs="Times New Roman"/>
                <w:sz w:val="24"/>
                <w:szCs w:val="24"/>
              </w:rPr>
              <m:t>t</m:t>
            </m:r>
          </m:sub>
        </m:sSub>
        <m:r>
          <m:rPr>
            <m:sty m:val="p"/>
          </m:rP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α</m:t>
            </m:r>
          </m:e>
          <m:sub>
            <m:r>
              <w:rPr>
                <w:rFonts w:ascii="Cambria Math" w:eastAsia="Calibri" w:hAnsi="Cambria Math" w:cs="Times New Roman"/>
                <w:sz w:val="24"/>
                <w:szCs w:val="24"/>
              </w:rPr>
              <m:t>i</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β</m:t>
            </m:r>
          </m:e>
          <m:sub>
            <m:r>
              <w:rPr>
                <w:rFonts w:ascii="Cambria Math" w:eastAsia="Calibri" w:hAnsi="Cambria Math" w:cs="Times New Roman"/>
                <w:sz w:val="24"/>
                <w:szCs w:val="24"/>
              </w:rPr>
              <m:t>im</m:t>
            </m:r>
          </m:sub>
        </m:sSub>
        <m:d>
          <m:dPr>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Rm</m:t>
                </m:r>
              </m:e>
              <m:sub>
                <m:r>
                  <w:rPr>
                    <w:rFonts w:ascii="Cambria Math" w:eastAsia="Calibri" w:hAnsi="Cambria Math" w:cs="Times New Roman"/>
                    <w:sz w:val="24"/>
                    <w:szCs w:val="24"/>
                  </w:rPr>
                  <m:t>t</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Rf</m:t>
                </m:r>
              </m:e>
              <m:sub>
                <m:r>
                  <w:rPr>
                    <w:rFonts w:ascii="Cambria Math" w:eastAsia="Calibri" w:hAnsi="Cambria Math" w:cs="Times New Roman"/>
                    <w:sz w:val="24"/>
                    <w:szCs w:val="24"/>
                  </w:rPr>
                  <m:t>t</m:t>
                </m:r>
              </m:sub>
            </m:sSub>
          </m:e>
        </m:d>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β</m:t>
            </m:r>
          </m:e>
          <m:sub>
            <m:r>
              <w:rPr>
                <w:rFonts w:ascii="Cambria Math" w:eastAsia="Calibri" w:hAnsi="Cambria Math" w:cs="Times New Roman"/>
                <w:sz w:val="24"/>
                <w:szCs w:val="24"/>
              </w:rPr>
              <m:t>is</m:t>
            </m:r>
          </m:sub>
        </m:sSub>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Size</m:t>
            </m:r>
          </m:e>
          <m:sub>
            <m:r>
              <w:rPr>
                <w:rFonts w:ascii="Cambria Math" w:eastAsia="Calibri" w:hAnsi="Cambria Math" w:cs="Times New Roman"/>
                <w:sz w:val="24"/>
                <w:szCs w:val="24"/>
              </w:rPr>
              <m:t>t</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β</m:t>
            </m:r>
          </m:e>
          <m:sub>
            <m:r>
              <w:rPr>
                <w:rFonts w:ascii="Cambria Math" w:eastAsia="Calibri" w:hAnsi="Cambria Math" w:cs="Times New Roman"/>
                <w:sz w:val="24"/>
                <w:szCs w:val="24"/>
              </w:rPr>
              <m:t>ih</m:t>
            </m:r>
          </m:sub>
        </m:sSub>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Va</m:t>
            </m:r>
            <m:r>
              <w:rPr>
                <w:rFonts w:ascii="Cambria Math" w:eastAsia="Calibri" w:hAnsi="Cambria Math" w:cs="Times New Roman"/>
                <w:sz w:val="24"/>
                <w:szCs w:val="24"/>
              </w:rPr>
              <m:t>lue</m:t>
            </m:r>
          </m:e>
          <m:sub>
            <m:r>
              <w:rPr>
                <w:rFonts w:ascii="Cambria Math" w:eastAsia="Calibri" w:hAnsi="Cambria Math" w:cs="Times New Roman"/>
                <w:sz w:val="24"/>
                <w:szCs w:val="24"/>
              </w:rPr>
              <m:t>t</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ε</m:t>
            </m:r>
          </m:e>
          <m:sub>
            <m:r>
              <w:rPr>
                <w:rFonts w:ascii="Cambria Math" w:eastAsia="Calibri" w:hAnsi="Cambria Math" w:cs="Times New Roman"/>
                <w:sz w:val="24"/>
                <w:szCs w:val="24"/>
              </w:rPr>
              <m:t>i,t</m:t>
            </m:r>
          </m:sub>
        </m:sSub>
      </m:oMath>
      <w:r w:rsidR="00E41E81">
        <w:rPr>
          <w:rFonts w:ascii="Times New Roman" w:eastAsia="Calibri" w:hAnsi="Times New Roman" w:cs="Times New Roman"/>
          <w:sz w:val="24"/>
          <w:szCs w:val="24"/>
        </w:rPr>
        <w:t xml:space="preserve"> (8</w:t>
      </w:r>
      <w:r w:rsidR="00473828" w:rsidRPr="00473828">
        <w:rPr>
          <w:rFonts w:ascii="Times New Roman" w:eastAsia="Calibri" w:hAnsi="Times New Roman" w:cs="Times New Roman"/>
          <w:sz w:val="24"/>
          <w:szCs w:val="24"/>
        </w:rPr>
        <w:t xml:space="preserve">)                                                             </w:t>
      </w:r>
    </w:p>
    <w:p w:rsidR="00473828" w:rsidRPr="00473828" w:rsidRDefault="008C0B72" w:rsidP="00473828">
      <w:pPr>
        <w:spacing w:line="480" w:lineRule="auto"/>
        <w:jc w:val="center"/>
        <w:rPr>
          <w:rFonts w:ascii="Times New Roman" w:eastAsia="Calibri"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sub>
        </m:sSub>
        <m:r>
          <m:rPr>
            <m:sty m:val="p"/>
          </m:rPr>
          <w:rPr>
            <w:rFonts w:ascii="Cambria Math" w:hAnsi="Cambria Math" w:cs="Times New Roman"/>
            <w:sz w:val="24"/>
            <w:szCs w:val="24"/>
          </w:rPr>
          <m:t>=ω+</m:t>
        </m:r>
        <m:sSubSup>
          <m:sSubSupPr>
            <m:ctrlPr>
              <w:rPr>
                <w:rFonts w:ascii="Cambria Math" w:hAnsi="Cambria Math" w:cs="Times New Roman"/>
                <w:sz w:val="24"/>
                <w:szCs w:val="24"/>
              </w:rPr>
            </m:ctrlPr>
          </m:sSubSupPr>
          <m:e>
            <m:r>
              <w:rPr>
                <w:rFonts w:ascii="Cambria Math" w:hAnsi="Cambria Math" w:cs="Times New Roman"/>
                <w:sz w:val="24"/>
                <w:szCs w:val="24"/>
              </w:rPr>
              <m:t>a.ε</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-1</m:t>
            </m:r>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b.H</m:t>
            </m:r>
          </m:e>
          <m:sub>
            <m:r>
              <m:rPr>
                <m:sty m:val="p"/>
              </m:rPr>
              <w:rPr>
                <w:rFonts w:ascii="Cambria Math" w:hAnsi="Cambria Math" w:cs="Times New Roman"/>
                <w:sz w:val="24"/>
                <w:szCs w:val="24"/>
              </w:rPr>
              <m:t>i,t-1</m:t>
            </m:r>
          </m:sub>
        </m:sSub>
      </m:oMath>
      <w:r w:rsidR="00E41E81">
        <w:rPr>
          <w:rFonts w:ascii="Times New Roman" w:eastAsia="Calibri" w:hAnsi="Times New Roman" w:cs="Times New Roman"/>
          <w:sz w:val="24"/>
          <w:szCs w:val="24"/>
        </w:rPr>
        <w:t xml:space="preserve">                              (9</w:t>
      </w:r>
      <w:r w:rsidR="00473828" w:rsidRPr="00473828">
        <w:rPr>
          <w:rFonts w:ascii="Times New Roman" w:eastAsia="Calibri" w:hAnsi="Times New Roman" w:cs="Times New Roman"/>
          <w:sz w:val="24"/>
          <w:szCs w:val="24"/>
        </w:rPr>
        <w:t>)</w:t>
      </w:r>
    </w:p>
    <w:p w:rsidR="00473828" w:rsidRPr="00473828" w:rsidRDefault="00473828" w:rsidP="00473828">
      <w:pPr>
        <w:spacing w:line="480" w:lineRule="auto"/>
        <w:rPr>
          <w:rFonts w:ascii="Times New Roman" w:hAnsi="Times New Roman" w:cs="Times New Roman"/>
          <w:sz w:val="24"/>
          <w:szCs w:val="24"/>
        </w:rPr>
      </w:pPr>
      <w:r w:rsidRPr="00473828">
        <w:rPr>
          <w:rFonts w:ascii="Times New Roman" w:hAnsi="Times New Roman" w:cs="Times New Roman"/>
          <w:sz w:val="24"/>
          <w:szCs w:val="24"/>
        </w:rPr>
        <w:t>For Asymmetric GARCH the variance equations (5) and (7) would be replaced by the following equation</w:t>
      </w:r>
    </w:p>
    <w:p w:rsidR="00473828" w:rsidRPr="00473828" w:rsidRDefault="008C0B72" w:rsidP="00473828">
      <w:pPr>
        <w:spacing w:line="480" w:lineRule="auto"/>
        <w:jc w:val="center"/>
        <w:rPr>
          <w:rFonts w:ascii="Times New Roman" w:eastAsia="Calibri"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sub>
        </m:sSub>
        <m:r>
          <m:rPr>
            <m:sty m:val="p"/>
          </m:rPr>
          <w:rPr>
            <w:rFonts w:ascii="Cambria Math" w:hAnsi="Cambria Math" w:cs="Times New Roman"/>
            <w:sz w:val="24"/>
            <w:szCs w:val="24"/>
          </w:rPr>
          <m:t>=ω+</m:t>
        </m:r>
        <m:sSubSup>
          <m:sSubSupPr>
            <m:ctrlPr>
              <w:rPr>
                <w:rFonts w:ascii="Cambria Math" w:hAnsi="Cambria Math" w:cs="Times New Roman"/>
                <w:sz w:val="24"/>
                <w:szCs w:val="24"/>
              </w:rPr>
            </m:ctrlPr>
          </m:sSubSupPr>
          <m:e>
            <m:r>
              <w:rPr>
                <w:rFonts w:ascii="Cambria Math" w:hAnsi="Cambria Math" w:cs="Times New Roman"/>
                <w:sz w:val="24"/>
                <w:szCs w:val="24"/>
              </w:rPr>
              <m:t>a.ε</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-1</m:t>
            </m:r>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b.H</m:t>
            </m:r>
          </m:e>
          <m:sub>
            <m:r>
              <m:rPr>
                <m:sty m:val="p"/>
              </m:rPr>
              <w:rPr>
                <w:rFonts w:ascii="Cambria Math" w:hAnsi="Cambria Math" w:cs="Times New Roman"/>
                <w:sz w:val="24"/>
                <w:szCs w:val="24"/>
              </w:rPr>
              <m:t>i,t-1</m:t>
            </m:r>
          </m:sub>
        </m:sSub>
        <m: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d.ε</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-1</m:t>
            </m:r>
          </m:sub>
          <m:sup>
            <m:r>
              <m:rPr>
                <m:sty m:val="p"/>
              </m:rPr>
              <w:rPr>
                <w:rFonts w:ascii="Cambria Math" w:hAnsi="Cambria Math" w:cs="Times New Roman"/>
                <w:sz w:val="24"/>
                <w:szCs w:val="24"/>
              </w:rPr>
              <m:t>2</m:t>
            </m:r>
          </m:sup>
        </m:sSubSup>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t-1</m:t>
            </m:r>
          </m:sub>
        </m:sSub>
      </m:oMath>
      <w:r w:rsidR="00E41E81">
        <w:rPr>
          <w:rFonts w:ascii="Times New Roman" w:eastAsia="Calibri" w:hAnsi="Times New Roman" w:cs="Times New Roman"/>
          <w:sz w:val="24"/>
          <w:szCs w:val="24"/>
        </w:rPr>
        <w:t xml:space="preserve">                              (10</w:t>
      </w:r>
      <w:r w:rsidR="00473828" w:rsidRPr="00473828">
        <w:rPr>
          <w:rFonts w:ascii="Times New Roman" w:eastAsia="Calibri" w:hAnsi="Times New Roman" w:cs="Times New Roman"/>
          <w:sz w:val="24"/>
          <w:szCs w:val="24"/>
        </w:rPr>
        <w:t>)</w:t>
      </w:r>
    </w:p>
    <w:p w:rsidR="00473828" w:rsidRDefault="00473828" w:rsidP="00473828">
      <w:pPr>
        <w:spacing w:line="480" w:lineRule="auto"/>
        <w:rPr>
          <w:rFonts w:ascii="Times New Roman" w:eastAsia="Calibri" w:hAnsi="Times New Roman" w:cs="Times New Roman"/>
          <w:sz w:val="24"/>
          <w:szCs w:val="24"/>
        </w:rPr>
      </w:pPr>
      <w:r w:rsidRPr="00473828">
        <w:rPr>
          <w:rFonts w:ascii="Times New Roman" w:eastAsia="Calibri" w:hAnsi="Times New Roman" w:cs="Times New Roman"/>
          <w:sz w:val="24"/>
          <w:szCs w:val="24"/>
        </w:rPr>
        <w:t xml:space="preserve">where </w:t>
      </w:r>
      <m:oMath>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t-1</m:t>
            </m:r>
          </m:sub>
        </m:sSub>
        <m:r>
          <w:rPr>
            <w:rFonts w:ascii="Cambria Math" w:eastAsia="Calibri" w:hAnsi="Cambria Math" w:cs="Times New Roman"/>
            <w:sz w:val="24"/>
            <w:szCs w:val="24"/>
          </w:rPr>
          <m:t>=1 if</m:t>
        </m:r>
        <m:sSub>
          <m:sSubPr>
            <m:ctrlPr>
              <w:rPr>
                <w:rFonts w:ascii="Cambria Math" w:hAnsi="Cambria Math" w:cs="Times New Roman"/>
                <w:i/>
                <w:sz w:val="24"/>
                <w:szCs w:val="24"/>
              </w:rPr>
            </m:ctrlPr>
          </m:sSubPr>
          <m:e>
            <m:r>
              <w:rPr>
                <w:rFonts w:ascii="Cambria Math" w:hAnsi="Cambria Math" w:cs="Times New Roman"/>
                <w:sz w:val="24"/>
                <w:szCs w:val="24"/>
              </w:rPr>
              <m:t>ε</m:t>
            </m:r>
            <m:ctrlPr>
              <w:rPr>
                <w:rFonts w:ascii="Cambria Math" w:hAnsi="Cambria Math" w:cs="Times New Roman"/>
                <w:sz w:val="24"/>
                <w:szCs w:val="24"/>
              </w:rPr>
            </m:ctrlP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-1</m:t>
            </m:r>
            <m:ctrlPr>
              <w:rPr>
                <w:rFonts w:ascii="Cambria Math" w:hAnsi="Cambria Math" w:cs="Times New Roman"/>
                <w:sz w:val="24"/>
                <w:szCs w:val="24"/>
              </w:rPr>
            </m:ctrlPr>
          </m:sub>
        </m:sSub>
        <m:r>
          <w:rPr>
            <w:rFonts w:ascii="Cambria Math" w:eastAsia="Calibri" w:hAnsi="Cambria Math" w:cs="Times New Roman"/>
            <w:sz w:val="24"/>
            <w:szCs w:val="24"/>
          </w:rPr>
          <m:t xml:space="preserve">&lt;0 and </m:t>
        </m:r>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t-1</m:t>
            </m:r>
          </m:sub>
        </m:sSub>
        <m:r>
          <w:rPr>
            <w:rFonts w:ascii="Cambria Math" w:eastAsia="Calibri" w:hAnsi="Cambria Math" w:cs="Times New Roman"/>
            <w:sz w:val="24"/>
            <w:szCs w:val="24"/>
          </w:rPr>
          <m:t>=0, otherwise</m:t>
        </m:r>
      </m:oMath>
      <w:r w:rsidRPr="00473828">
        <w:rPr>
          <w:rFonts w:ascii="Times New Roman" w:eastAsia="Calibri" w:hAnsi="Times New Roman" w:cs="Times New Roman"/>
          <w:sz w:val="24"/>
          <w:szCs w:val="24"/>
        </w:rPr>
        <w:t>.</w:t>
      </w:r>
    </w:p>
    <w:p w:rsidR="0051129F" w:rsidRPr="0051129F" w:rsidRDefault="0051129F" w:rsidP="00473828">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Here, ε</w:t>
      </w:r>
      <w:r w:rsidRPr="0051129F">
        <w:rPr>
          <w:rFonts w:ascii="Times New Roman" w:eastAsia="Calibri" w:hAnsi="Times New Roman" w:cs="Times New Roman"/>
          <w:sz w:val="24"/>
          <w:szCs w:val="24"/>
          <w:vertAlign w:val="subscript"/>
        </w:rPr>
        <w:t>i,t-1</w:t>
      </w:r>
      <w:r>
        <w:rPr>
          <w:rFonts w:ascii="Times New Roman" w:eastAsia="Calibri" w:hAnsi="Times New Roman" w:cs="Times New Roman"/>
          <w:sz w:val="24"/>
          <w:szCs w:val="24"/>
        </w:rPr>
        <w:t xml:space="preserve">is itself basically equal to actual returns – forecasted returns. If actual returns are less than forecasted returns, error would be negative which indicates a bad news. And the sole purpose of the asymmetric GARCH model is to differentiate the effect of good news versus bad news on conditional volatility. </w:t>
      </w:r>
    </w:p>
    <w:p w:rsidR="00473828" w:rsidRPr="00DB6261" w:rsidRDefault="00473828" w:rsidP="007B2CB4">
      <w:pPr>
        <w:spacing w:line="480" w:lineRule="auto"/>
        <w:jc w:val="both"/>
        <w:rPr>
          <w:rFonts w:ascii="Times New Roman" w:eastAsia="Calibri" w:hAnsi="Times New Roman" w:cs="Times New Roman"/>
          <w:sz w:val="24"/>
          <w:szCs w:val="24"/>
        </w:rPr>
      </w:pPr>
      <w:r w:rsidRPr="00DB6261">
        <w:rPr>
          <w:rFonts w:ascii="Times New Roman" w:eastAsia="Calibri" w:hAnsi="Times New Roman" w:cs="Times New Roman"/>
          <w:sz w:val="24"/>
          <w:szCs w:val="24"/>
        </w:rPr>
        <w:t>The GARCH (1, 1)</w:t>
      </w:r>
      <w:r w:rsidR="0051129F">
        <w:rPr>
          <w:rFonts w:ascii="Times New Roman" w:eastAsia="Calibri" w:hAnsi="Times New Roman" w:cs="Times New Roman"/>
          <w:sz w:val="24"/>
          <w:szCs w:val="24"/>
        </w:rPr>
        <w:t xml:space="preserve"> model mentioned above evaluated</w:t>
      </w:r>
      <w:r w:rsidRPr="00DB6261">
        <w:rPr>
          <w:rFonts w:ascii="Times New Roman" w:eastAsia="Calibri" w:hAnsi="Times New Roman" w:cs="Times New Roman"/>
          <w:sz w:val="24"/>
          <w:szCs w:val="24"/>
        </w:rPr>
        <w:t xml:space="preserve"> the volatility of stocks in current period based on squared returns of last period and volatility of the last period. </w:t>
      </w:r>
    </w:p>
    <w:p w:rsidR="007C2496" w:rsidRPr="007C2496" w:rsidRDefault="007C2496" w:rsidP="007C2496">
      <w:pPr>
        <w:spacing w:line="480" w:lineRule="auto"/>
        <w:jc w:val="both"/>
        <w:rPr>
          <w:rFonts w:ascii="Times New Roman" w:eastAsia="Calibri" w:hAnsi="Times New Roman" w:cs="Times New Roman"/>
          <w:sz w:val="24"/>
          <w:szCs w:val="24"/>
        </w:rPr>
      </w:pPr>
      <w:r w:rsidRPr="007C2496">
        <w:rPr>
          <w:rFonts w:ascii="Times New Roman" w:eastAsia="Calibri" w:hAnsi="Times New Roman" w:cs="Times New Roman"/>
          <w:sz w:val="24"/>
          <w:szCs w:val="24"/>
        </w:rPr>
        <w:t xml:space="preserve">We estimated the volatility of portfolios through three different measure: </w:t>
      </w:r>
    </w:p>
    <w:p w:rsidR="007C2496" w:rsidRPr="007C2496" w:rsidRDefault="007C2496" w:rsidP="00530647">
      <w:pPr>
        <w:numPr>
          <w:ilvl w:val="0"/>
          <w:numId w:val="3"/>
        </w:numPr>
        <w:spacing w:line="276" w:lineRule="auto"/>
        <w:jc w:val="both"/>
        <w:rPr>
          <w:rFonts w:ascii="Times New Roman" w:eastAsia="Calibri" w:hAnsi="Times New Roman" w:cs="Times New Roman"/>
          <w:sz w:val="24"/>
          <w:szCs w:val="24"/>
        </w:rPr>
      </w:pPr>
      <w:r w:rsidRPr="007C2496">
        <w:rPr>
          <w:rFonts w:ascii="Times New Roman" w:eastAsia="Calibri" w:hAnsi="Times New Roman" w:cs="Times New Roman"/>
          <w:sz w:val="24"/>
          <w:szCs w:val="24"/>
        </w:rPr>
        <w:lastRenderedPageBreak/>
        <w:t>Simple Standard deviation (The results are already discussed in the descriptive statistics)</w:t>
      </w:r>
    </w:p>
    <w:p w:rsidR="007C2496" w:rsidRPr="007C2496" w:rsidRDefault="00247F6C" w:rsidP="00530647">
      <w:pPr>
        <w:numPr>
          <w:ilvl w:val="0"/>
          <w:numId w:val="3"/>
        </w:numPr>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Symmetric Standard Deviation </w:t>
      </w:r>
    </w:p>
    <w:p w:rsidR="00DB6261" w:rsidRDefault="007C2496" w:rsidP="00530647">
      <w:pPr>
        <w:numPr>
          <w:ilvl w:val="0"/>
          <w:numId w:val="3"/>
        </w:numPr>
        <w:spacing w:line="276" w:lineRule="auto"/>
        <w:jc w:val="both"/>
        <w:rPr>
          <w:rFonts w:ascii="Times New Roman" w:eastAsia="Calibri" w:hAnsi="Times New Roman" w:cs="Times New Roman"/>
          <w:sz w:val="24"/>
          <w:szCs w:val="24"/>
        </w:rPr>
      </w:pPr>
      <w:r w:rsidRPr="007C2496">
        <w:rPr>
          <w:rFonts w:ascii="Times New Roman" w:eastAsia="Calibri" w:hAnsi="Times New Roman" w:cs="Times New Roman"/>
          <w:sz w:val="24"/>
          <w:szCs w:val="24"/>
        </w:rPr>
        <w:t>Asymmetric Standard Deviation</w:t>
      </w:r>
    </w:p>
    <w:p w:rsidR="00DB6261" w:rsidRPr="00DB6261" w:rsidRDefault="00DB6261" w:rsidP="00080602">
      <w:pPr>
        <w:spacing w:before="24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Pr="00DB6261">
        <w:rPr>
          <w:rFonts w:ascii="Times New Roman" w:eastAsia="Calibri" w:hAnsi="Times New Roman" w:cs="Times New Roman"/>
          <w:sz w:val="24"/>
          <w:szCs w:val="24"/>
        </w:rPr>
        <w:t>he asymmetric GARCH model captures the asymmetric effects of good or bad n</w:t>
      </w:r>
      <w:r>
        <w:rPr>
          <w:rFonts w:ascii="Times New Roman" w:eastAsia="Calibri" w:hAnsi="Times New Roman" w:cs="Times New Roman"/>
          <w:sz w:val="24"/>
          <w:szCs w:val="24"/>
        </w:rPr>
        <w:t xml:space="preserve">ews on the conditional variance. Whereas, the symmetric GARCH model does not differentiate the impact of good news and bad news. </w:t>
      </w:r>
    </w:p>
    <w:p w:rsidR="007C2496" w:rsidRPr="00473828" w:rsidRDefault="0052004C" w:rsidP="007C2496">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In our study, t</w:t>
      </w:r>
      <w:r w:rsidR="007C2496" w:rsidRPr="007C2496">
        <w:rPr>
          <w:rFonts w:ascii="Times New Roman" w:eastAsia="Calibri" w:hAnsi="Times New Roman" w:cs="Times New Roman"/>
          <w:sz w:val="24"/>
          <w:szCs w:val="24"/>
        </w:rPr>
        <w:t>he conventional measure of risk i.e. standard deviation was computed for two portfolios i.e., Portfolio_FL (stocks against which futures are traded) and Portfolio_NFL (stocks which do not have</w:t>
      </w:r>
      <w:r w:rsidR="007C2496">
        <w:rPr>
          <w:rFonts w:ascii="Times New Roman" w:eastAsia="Calibri" w:hAnsi="Times New Roman" w:cs="Times New Roman"/>
          <w:sz w:val="24"/>
          <w:szCs w:val="24"/>
        </w:rPr>
        <w:t xml:space="preserve"> any futures available on them)</w:t>
      </w:r>
      <w:r w:rsidR="007C2496" w:rsidRPr="007C2496">
        <w:rPr>
          <w:rFonts w:ascii="Times New Roman" w:eastAsia="Calibri" w:hAnsi="Times New Roman" w:cs="Times New Roman"/>
          <w:sz w:val="24"/>
          <w:szCs w:val="24"/>
        </w:rPr>
        <w:t>. Then, symmetric volatility of stocks in 11 periods wa</w:t>
      </w:r>
      <w:r w:rsidR="00FF4BA0">
        <w:rPr>
          <w:rFonts w:ascii="Times New Roman" w:eastAsia="Calibri" w:hAnsi="Times New Roman" w:cs="Times New Roman"/>
          <w:sz w:val="24"/>
          <w:szCs w:val="24"/>
        </w:rPr>
        <w:t>s calculated through equation (7) and (9</w:t>
      </w:r>
      <w:r w:rsidR="007C2496" w:rsidRPr="007C2496">
        <w:rPr>
          <w:rFonts w:ascii="Times New Roman" w:eastAsia="Calibri" w:hAnsi="Times New Roman" w:cs="Times New Roman"/>
          <w:sz w:val="24"/>
          <w:szCs w:val="24"/>
        </w:rPr>
        <w:t>).</w:t>
      </w:r>
    </w:p>
    <w:p w:rsidR="002E6858" w:rsidRDefault="007C2496" w:rsidP="007B2CB4">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So, t</w:t>
      </w:r>
      <w:r w:rsidR="00473828" w:rsidRPr="00473828">
        <w:rPr>
          <w:rFonts w:ascii="Times New Roman" w:eastAsia="Calibri" w:hAnsi="Times New Roman" w:cs="Times New Roman"/>
          <w:sz w:val="24"/>
          <w:szCs w:val="24"/>
        </w:rPr>
        <w:t>he conditional variances was calculated through both Symmetric GARCH and Asymmetric GARCH models in Eviews7. For the ease of analysis, the conditional variances was then converted into c</w:t>
      </w:r>
      <w:r w:rsidR="00C9703D">
        <w:rPr>
          <w:rFonts w:ascii="Times New Roman" w:eastAsia="Calibri" w:hAnsi="Times New Roman" w:cs="Times New Roman"/>
          <w:sz w:val="24"/>
          <w:szCs w:val="24"/>
        </w:rPr>
        <w:t>onditional standard deviations by taking the square root of conditional variance.</w:t>
      </w:r>
    </w:p>
    <w:p w:rsidR="00C9703D" w:rsidRPr="00473828" w:rsidRDefault="00C9703D" w:rsidP="007B2CB4">
      <w:pPr>
        <w:spacing w:line="480" w:lineRule="auto"/>
        <w:jc w:val="both"/>
        <w:rPr>
          <w:rFonts w:ascii="Times New Roman" w:eastAsia="Calibri" w:hAnsi="Times New Roman" w:cs="Times New Roman"/>
          <w:sz w:val="24"/>
          <w:szCs w:val="24"/>
        </w:rPr>
      </w:pPr>
      <w:r w:rsidRPr="00C9703D">
        <w:rPr>
          <w:rFonts w:ascii="Times New Roman" w:eastAsia="Calibri" w:hAnsi="Times New Roman" w:cs="Times New Roman"/>
          <w:sz w:val="24"/>
          <w:szCs w:val="24"/>
        </w:rPr>
        <w:t xml:space="preserve">Conditional Standard deviation = σ = √H </w:t>
      </w:r>
      <w:r w:rsidRPr="004F00B3">
        <w:rPr>
          <w:rFonts w:ascii="Times New Roman" w:eastAsia="Calibri" w:hAnsi="Times New Roman" w:cs="Times New Roman"/>
          <w:sz w:val="24"/>
          <w:szCs w:val="24"/>
          <w:vertAlign w:val="subscript"/>
        </w:rPr>
        <w:t>i,t</w:t>
      </w:r>
    </w:p>
    <w:p w:rsidR="00473828" w:rsidRPr="00473828" w:rsidRDefault="00473828" w:rsidP="007B2CB4">
      <w:pPr>
        <w:spacing w:line="480" w:lineRule="auto"/>
        <w:jc w:val="both"/>
        <w:rPr>
          <w:rFonts w:ascii="Times New Roman" w:eastAsia="Calibri" w:hAnsi="Times New Roman" w:cs="Times New Roman"/>
          <w:sz w:val="24"/>
          <w:szCs w:val="24"/>
        </w:rPr>
      </w:pPr>
      <w:r w:rsidRPr="00473828">
        <w:rPr>
          <w:rFonts w:ascii="Times New Roman" w:eastAsia="Calibri" w:hAnsi="Times New Roman" w:cs="Times New Roman"/>
          <w:sz w:val="24"/>
          <w:szCs w:val="24"/>
        </w:rPr>
        <w:t xml:space="preserve">We then tested the equality of means of alpha </w:t>
      </w:r>
      <w:r w:rsidR="004F00B3">
        <w:rPr>
          <w:rFonts w:ascii="Times New Roman" w:eastAsia="Calibri" w:hAnsi="Times New Roman" w:cs="Times New Roman"/>
          <w:sz w:val="24"/>
          <w:szCs w:val="24"/>
        </w:rPr>
        <w:t xml:space="preserve">and conditional standard deviation </w:t>
      </w:r>
      <w:r w:rsidRPr="00473828">
        <w:rPr>
          <w:rFonts w:ascii="Times New Roman" w:eastAsia="Calibri" w:hAnsi="Times New Roman" w:cs="Times New Roman"/>
          <w:sz w:val="24"/>
          <w:szCs w:val="24"/>
        </w:rPr>
        <w:t>for both portfolios. The following tests were used for this purpose:</w:t>
      </w:r>
    </w:p>
    <w:p w:rsidR="00473828" w:rsidRPr="00473828" w:rsidRDefault="00473828" w:rsidP="00473828">
      <w:pPr>
        <w:numPr>
          <w:ilvl w:val="0"/>
          <w:numId w:val="17"/>
        </w:numPr>
        <w:spacing w:line="480" w:lineRule="auto"/>
        <w:rPr>
          <w:rFonts w:ascii="Times New Roman" w:eastAsia="Calibri" w:hAnsi="Times New Roman" w:cs="Times New Roman"/>
          <w:sz w:val="24"/>
          <w:szCs w:val="24"/>
        </w:rPr>
      </w:pPr>
      <w:r w:rsidRPr="00473828">
        <w:rPr>
          <w:rFonts w:ascii="Times New Roman" w:eastAsia="Calibri" w:hAnsi="Times New Roman" w:cs="Times New Roman"/>
          <w:sz w:val="24"/>
          <w:szCs w:val="24"/>
        </w:rPr>
        <w:t>t-test</w:t>
      </w:r>
    </w:p>
    <w:p w:rsidR="00473828" w:rsidRPr="00473828" w:rsidRDefault="00473828" w:rsidP="00473828">
      <w:pPr>
        <w:numPr>
          <w:ilvl w:val="0"/>
          <w:numId w:val="17"/>
        </w:numPr>
        <w:spacing w:line="480" w:lineRule="auto"/>
        <w:rPr>
          <w:rFonts w:ascii="Times New Roman" w:eastAsia="Calibri" w:hAnsi="Times New Roman" w:cs="Times New Roman"/>
          <w:sz w:val="24"/>
          <w:szCs w:val="24"/>
        </w:rPr>
      </w:pPr>
      <w:r w:rsidRPr="00473828">
        <w:rPr>
          <w:rFonts w:ascii="Times New Roman" w:eastAsia="Calibri" w:hAnsi="Times New Roman" w:cs="Times New Roman"/>
          <w:sz w:val="24"/>
          <w:szCs w:val="24"/>
        </w:rPr>
        <w:t>Welch-Satterthwaite t-test</w:t>
      </w:r>
    </w:p>
    <w:p w:rsidR="00473828" w:rsidRPr="00473828" w:rsidRDefault="00473828" w:rsidP="00473828">
      <w:pPr>
        <w:numPr>
          <w:ilvl w:val="0"/>
          <w:numId w:val="17"/>
        </w:numPr>
        <w:spacing w:line="480" w:lineRule="auto"/>
        <w:rPr>
          <w:rFonts w:ascii="Times New Roman" w:eastAsia="Calibri" w:hAnsi="Times New Roman" w:cs="Times New Roman"/>
          <w:sz w:val="24"/>
          <w:szCs w:val="24"/>
        </w:rPr>
      </w:pPr>
      <w:r w:rsidRPr="00473828">
        <w:rPr>
          <w:rFonts w:ascii="Times New Roman" w:eastAsia="Calibri" w:hAnsi="Times New Roman" w:cs="Times New Roman"/>
          <w:sz w:val="24"/>
          <w:szCs w:val="24"/>
        </w:rPr>
        <w:t>ANOVA F-test</w:t>
      </w:r>
    </w:p>
    <w:p w:rsidR="00473828" w:rsidRPr="00473828" w:rsidRDefault="00473828" w:rsidP="00473828">
      <w:pPr>
        <w:numPr>
          <w:ilvl w:val="0"/>
          <w:numId w:val="17"/>
        </w:numPr>
        <w:spacing w:line="480" w:lineRule="auto"/>
        <w:rPr>
          <w:rFonts w:ascii="Times New Roman" w:eastAsia="Calibri" w:hAnsi="Times New Roman" w:cs="Times New Roman"/>
          <w:sz w:val="24"/>
          <w:szCs w:val="24"/>
        </w:rPr>
      </w:pPr>
      <w:r w:rsidRPr="00473828">
        <w:rPr>
          <w:rFonts w:ascii="Times New Roman" w:eastAsia="Calibri" w:hAnsi="Times New Roman" w:cs="Times New Roman"/>
          <w:sz w:val="24"/>
          <w:szCs w:val="24"/>
        </w:rPr>
        <w:t>Welch F-test</w:t>
      </w:r>
    </w:p>
    <w:p w:rsidR="00473828" w:rsidRPr="00A276D0" w:rsidRDefault="00473828" w:rsidP="007B2CB4">
      <w:pPr>
        <w:pStyle w:val="Heading5"/>
        <w:spacing w:after="240"/>
        <w:jc w:val="both"/>
        <w:rPr>
          <w:rFonts w:ascii="Times New Roman" w:hAnsi="Times New Roman" w:cs="Times New Roman"/>
          <w:b/>
          <w:color w:val="auto"/>
          <w:sz w:val="24"/>
        </w:rPr>
      </w:pPr>
      <w:bookmarkStart w:id="11" w:name="_Toc520219897"/>
      <w:r w:rsidRPr="00A276D0">
        <w:rPr>
          <w:rFonts w:ascii="Times New Roman" w:hAnsi="Times New Roman" w:cs="Times New Roman"/>
          <w:b/>
          <w:color w:val="auto"/>
          <w:sz w:val="24"/>
        </w:rPr>
        <w:lastRenderedPageBreak/>
        <w:t>3.4 Hypothesis</w:t>
      </w:r>
      <w:bookmarkEnd w:id="11"/>
    </w:p>
    <w:p w:rsidR="00473828" w:rsidRDefault="00473828" w:rsidP="007B2CB4">
      <w:pPr>
        <w:spacing w:line="480" w:lineRule="auto"/>
        <w:jc w:val="both"/>
        <w:rPr>
          <w:rFonts w:ascii="Times New Roman" w:eastAsia="Calibri" w:hAnsi="Times New Roman" w:cs="Times New Roman"/>
          <w:sz w:val="24"/>
          <w:szCs w:val="24"/>
        </w:rPr>
      </w:pPr>
      <w:r w:rsidRPr="00473828">
        <w:rPr>
          <w:rFonts w:ascii="Times New Roman" w:eastAsia="Calibri" w:hAnsi="Times New Roman" w:cs="Times New Roman"/>
          <w:sz w:val="24"/>
          <w:szCs w:val="24"/>
        </w:rPr>
        <w:t>We present the following two hypothesis to assess the influence of futures listing on risk and return dynamics of underlying stocks in Pakistan Stock Exchange (PSX).</w:t>
      </w:r>
    </w:p>
    <w:p w:rsidR="00D16B87" w:rsidRDefault="00D16B87" w:rsidP="007B2CB4">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As Alpha is not the measure of absolute performance. It’s the measure of excess returns over and above the benchmark returns which according to Efficient Market Hypothesis (EMH) is only possible if markets are in-efficient. And that’s why movement of alpha closer to zero is indeed an indication of the fact that markets are gradually attaining more efficiency. So, we ended we with the following hypothesis. </w:t>
      </w:r>
    </w:p>
    <w:p w:rsidR="00473828" w:rsidRPr="00473828" w:rsidRDefault="00473828" w:rsidP="007B2CB4">
      <w:pPr>
        <w:spacing w:line="480" w:lineRule="auto"/>
        <w:jc w:val="both"/>
        <w:rPr>
          <w:rFonts w:ascii="Times New Roman" w:eastAsia="Calibri" w:hAnsi="Times New Roman" w:cs="Times New Roman"/>
          <w:sz w:val="24"/>
          <w:szCs w:val="24"/>
        </w:rPr>
      </w:pPr>
      <w:r w:rsidRPr="00473828">
        <w:rPr>
          <w:rFonts w:ascii="Times New Roman" w:eastAsia="Calibri" w:hAnsi="Times New Roman" w:cs="Times New Roman"/>
          <w:b/>
          <w:bCs/>
          <w:sz w:val="24"/>
          <w:szCs w:val="24"/>
        </w:rPr>
        <w:t>H1</w:t>
      </w:r>
      <w:r w:rsidRPr="00473828">
        <w:rPr>
          <w:rFonts w:ascii="Times New Roman" w:eastAsia="Calibri" w:hAnsi="Times New Roman" w:cs="Times New Roman"/>
          <w:b/>
          <w:bCs/>
          <w:sz w:val="24"/>
          <w:szCs w:val="24"/>
          <w:vertAlign w:val="subscript"/>
        </w:rPr>
        <w:t>o</w:t>
      </w:r>
      <w:r w:rsidRPr="00473828">
        <w:rPr>
          <w:rFonts w:ascii="Times New Roman" w:eastAsia="Calibri" w:hAnsi="Times New Roman" w:cs="Times New Roman"/>
          <w:b/>
          <w:bCs/>
          <w:sz w:val="24"/>
          <w:szCs w:val="24"/>
        </w:rPr>
        <w:t>:</w:t>
      </w:r>
      <w:r w:rsidRPr="00473828">
        <w:rPr>
          <w:rFonts w:ascii="Times New Roman" w:eastAsia="Calibri" w:hAnsi="Times New Roman" w:cs="Times New Roman"/>
          <w:sz w:val="24"/>
          <w:szCs w:val="24"/>
        </w:rPr>
        <w:t xml:space="preserve">        Futures listing does not increases</w:t>
      </w:r>
      <w:r w:rsidR="00031319">
        <w:rPr>
          <w:rFonts w:ascii="Times New Roman" w:eastAsia="Calibri" w:hAnsi="Times New Roman" w:cs="Times New Roman"/>
          <w:sz w:val="24"/>
          <w:szCs w:val="24"/>
        </w:rPr>
        <w:t>/decreases</w:t>
      </w:r>
      <w:r w:rsidRPr="00473828">
        <w:rPr>
          <w:rFonts w:ascii="Times New Roman" w:eastAsia="Calibri" w:hAnsi="Times New Roman" w:cs="Times New Roman"/>
          <w:sz w:val="24"/>
          <w:szCs w:val="24"/>
        </w:rPr>
        <w:t xml:space="preserve"> market efficiency</w:t>
      </w:r>
    </w:p>
    <w:p w:rsidR="00473828" w:rsidRPr="00473828" w:rsidRDefault="00473828" w:rsidP="007B2CB4">
      <w:pPr>
        <w:spacing w:line="480" w:lineRule="auto"/>
        <w:jc w:val="both"/>
        <w:rPr>
          <w:rFonts w:ascii="Times New Roman" w:eastAsia="Calibri" w:hAnsi="Times New Roman" w:cs="Times New Roman"/>
          <w:sz w:val="24"/>
          <w:szCs w:val="24"/>
        </w:rPr>
      </w:pPr>
      <w:r w:rsidRPr="00473828">
        <w:rPr>
          <w:rFonts w:ascii="Times New Roman" w:eastAsia="Calibri" w:hAnsi="Times New Roman" w:cs="Times New Roman"/>
          <w:bCs/>
          <w:sz w:val="24"/>
          <w:szCs w:val="24"/>
          <w:lang w:val="el-GR"/>
        </w:rPr>
        <w:t>α</w:t>
      </w:r>
      <w:r w:rsidRPr="00473828">
        <w:rPr>
          <w:rFonts w:ascii="Times New Roman" w:eastAsia="Calibri" w:hAnsi="Times New Roman" w:cs="Times New Roman"/>
          <w:bCs/>
          <w:sz w:val="24"/>
          <w:szCs w:val="24"/>
          <w:vertAlign w:val="subscript"/>
        </w:rPr>
        <w:t>NFL</w:t>
      </w:r>
      <w:r w:rsidRPr="00473828">
        <w:rPr>
          <w:rFonts w:ascii="Times New Roman" w:eastAsia="Calibri" w:hAnsi="Times New Roman" w:cs="Times New Roman"/>
          <w:bCs/>
          <w:sz w:val="24"/>
          <w:szCs w:val="24"/>
        </w:rPr>
        <w:t xml:space="preserve"> – </w:t>
      </w:r>
      <w:r w:rsidRPr="00473828">
        <w:rPr>
          <w:rFonts w:ascii="Times New Roman" w:eastAsia="Calibri" w:hAnsi="Times New Roman" w:cs="Times New Roman"/>
          <w:bCs/>
          <w:sz w:val="24"/>
          <w:szCs w:val="24"/>
          <w:lang w:val="el-GR"/>
        </w:rPr>
        <w:t>α</w:t>
      </w:r>
      <w:r w:rsidRPr="00473828">
        <w:rPr>
          <w:rFonts w:ascii="Times New Roman" w:eastAsia="Calibri" w:hAnsi="Times New Roman" w:cs="Times New Roman"/>
          <w:bCs/>
          <w:sz w:val="24"/>
          <w:szCs w:val="24"/>
          <w:vertAlign w:val="subscript"/>
        </w:rPr>
        <w:t xml:space="preserve"> FL</w:t>
      </w:r>
      <w:r w:rsidRPr="00473828">
        <w:rPr>
          <w:rFonts w:ascii="Times New Roman" w:eastAsia="Calibri" w:hAnsi="Times New Roman" w:cs="Times New Roman"/>
          <w:bCs/>
          <w:sz w:val="24"/>
          <w:szCs w:val="24"/>
        </w:rPr>
        <w:t xml:space="preserve"> = 0, alternatively </w:t>
      </w:r>
      <w:r w:rsidRPr="00473828">
        <w:rPr>
          <w:rFonts w:ascii="Times New Roman" w:eastAsia="Calibri" w:hAnsi="Times New Roman" w:cs="Times New Roman"/>
          <w:bCs/>
          <w:sz w:val="24"/>
          <w:szCs w:val="24"/>
          <w:lang w:val="el-GR"/>
        </w:rPr>
        <w:t>α</w:t>
      </w:r>
      <w:r w:rsidRPr="00473828">
        <w:rPr>
          <w:rFonts w:ascii="Times New Roman" w:eastAsia="Calibri" w:hAnsi="Times New Roman" w:cs="Times New Roman"/>
          <w:bCs/>
          <w:sz w:val="24"/>
          <w:szCs w:val="24"/>
          <w:vertAlign w:val="subscript"/>
        </w:rPr>
        <w:t>NFL</w:t>
      </w:r>
      <w:r w:rsidRPr="00473828">
        <w:rPr>
          <w:rFonts w:ascii="Times New Roman" w:eastAsia="Calibri" w:hAnsi="Times New Roman" w:cs="Times New Roman"/>
          <w:bCs/>
          <w:sz w:val="24"/>
          <w:szCs w:val="24"/>
        </w:rPr>
        <w:t xml:space="preserve"> = </w:t>
      </w:r>
      <w:r w:rsidRPr="00473828">
        <w:rPr>
          <w:rFonts w:ascii="Times New Roman" w:eastAsia="Calibri" w:hAnsi="Times New Roman" w:cs="Times New Roman"/>
          <w:bCs/>
          <w:sz w:val="24"/>
          <w:szCs w:val="24"/>
          <w:lang w:val="el-GR"/>
        </w:rPr>
        <w:t>α</w:t>
      </w:r>
      <w:r w:rsidRPr="00473828">
        <w:rPr>
          <w:rFonts w:ascii="Times New Roman" w:eastAsia="Calibri" w:hAnsi="Times New Roman" w:cs="Times New Roman"/>
          <w:bCs/>
          <w:sz w:val="24"/>
          <w:szCs w:val="24"/>
          <w:vertAlign w:val="subscript"/>
        </w:rPr>
        <w:t xml:space="preserve"> FL</w:t>
      </w:r>
    </w:p>
    <w:p w:rsidR="00D16B87" w:rsidRPr="00473828" w:rsidRDefault="00473828" w:rsidP="007B2CB4">
      <w:pPr>
        <w:spacing w:line="480" w:lineRule="auto"/>
        <w:jc w:val="both"/>
        <w:rPr>
          <w:rFonts w:ascii="Times New Roman" w:eastAsia="Calibri" w:hAnsi="Times New Roman" w:cs="Times New Roman"/>
          <w:sz w:val="24"/>
          <w:szCs w:val="24"/>
        </w:rPr>
      </w:pPr>
      <w:r w:rsidRPr="00473828">
        <w:rPr>
          <w:rFonts w:ascii="Times New Roman" w:eastAsia="Calibri" w:hAnsi="Times New Roman" w:cs="Times New Roman"/>
          <w:b/>
          <w:bCs/>
          <w:sz w:val="24"/>
          <w:szCs w:val="24"/>
        </w:rPr>
        <w:t>H1</w:t>
      </w:r>
      <w:r w:rsidRPr="00473828">
        <w:rPr>
          <w:rFonts w:ascii="Times New Roman" w:eastAsia="Calibri" w:hAnsi="Times New Roman" w:cs="Times New Roman"/>
          <w:b/>
          <w:bCs/>
          <w:sz w:val="24"/>
          <w:szCs w:val="24"/>
          <w:vertAlign w:val="subscript"/>
        </w:rPr>
        <w:t>A</w:t>
      </w:r>
      <w:r w:rsidRPr="00473828">
        <w:rPr>
          <w:rFonts w:ascii="Times New Roman" w:eastAsia="Calibri" w:hAnsi="Times New Roman" w:cs="Times New Roman"/>
          <w:b/>
          <w:bCs/>
          <w:sz w:val="24"/>
          <w:szCs w:val="24"/>
        </w:rPr>
        <w:t>:</w:t>
      </w:r>
      <w:r w:rsidRPr="00473828">
        <w:rPr>
          <w:rFonts w:ascii="Times New Roman" w:eastAsia="Calibri" w:hAnsi="Times New Roman" w:cs="Times New Roman"/>
          <w:sz w:val="24"/>
          <w:szCs w:val="24"/>
        </w:rPr>
        <w:t xml:space="preserve">        Futures listing increase</w:t>
      </w:r>
      <w:r w:rsidR="00031319">
        <w:rPr>
          <w:rFonts w:ascii="Times New Roman" w:eastAsia="Calibri" w:hAnsi="Times New Roman" w:cs="Times New Roman"/>
          <w:sz w:val="24"/>
          <w:szCs w:val="24"/>
        </w:rPr>
        <w:t>/decrease</w:t>
      </w:r>
      <w:r w:rsidRPr="00473828">
        <w:rPr>
          <w:rFonts w:ascii="Times New Roman" w:eastAsia="Calibri" w:hAnsi="Times New Roman" w:cs="Times New Roman"/>
          <w:sz w:val="24"/>
          <w:szCs w:val="24"/>
        </w:rPr>
        <w:t xml:space="preserve"> market efficiency</w:t>
      </w:r>
    </w:p>
    <w:p w:rsidR="00473828" w:rsidRPr="00473828" w:rsidRDefault="00473828" w:rsidP="007B2CB4">
      <w:pPr>
        <w:spacing w:line="480" w:lineRule="auto"/>
        <w:jc w:val="both"/>
        <w:rPr>
          <w:rFonts w:ascii="Times New Roman" w:eastAsia="Calibri" w:hAnsi="Times New Roman" w:cs="Times New Roman"/>
          <w:sz w:val="24"/>
          <w:szCs w:val="24"/>
        </w:rPr>
      </w:pPr>
      <w:r w:rsidRPr="00473828">
        <w:rPr>
          <w:rFonts w:ascii="Times New Roman" w:eastAsia="Calibri" w:hAnsi="Times New Roman" w:cs="Times New Roman"/>
          <w:b/>
          <w:bCs/>
          <w:sz w:val="24"/>
          <w:szCs w:val="24"/>
        </w:rPr>
        <w:t>H2</w:t>
      </w:r>
      <w:r w:rsidRPr="00473828">
        <w:rPr>
          <w:rFonts w:ascii="Times New Roman" w:eastAsia="Calibri" w:hAnsi="Times New Roman" w:cs="Times New Roman"/>
          <w:b/>
          <w:bCs/>
          <w:sz w:val="24"/>
          <w:szCs w:val="24"/>
          <w:vertAlign w:val="subscript"/>
        </w:rPr>
        <w:t>o</w:t>
      </w:r>
      <w:r w:rsidRPr="00473828">
        <w:rPr>
          <w:rFonts w:ascii="Times New Roman" w:eastAsia="Calibri" w:hAnsi="Times New Roman" w:cs="Times New Roman"/>
          <w:b/>
          <w:bCs/>
          <w:sz w:val="24"/>
          <w:szCs w:val="24"/>
        </w:rPr>
        <w:t>:</w:t>
      </w:r>
      <w:r w:rsidRPr="00473828">
        <w:rPr>
          <w:rFonts w:ascii="Times New Roman" w:eastAsia="Calibri" w:hAnsi="Times New Roman" w:cs="Times New Roman"/>
          <w:sz w:val="24"/>
          <w:szCs w:val="24"/>
        </w:rPr>
        <w:t xml:space="preserve">         Futures listing does not alter the volatility dynamics of underlying stock returns</w:t>
      </w:r>
    </w:p>
    <w:p w:rsidR="00473828" w:rsidRPr="00473828" w:rsidRDefault="00473828" w:rsidP="007B2CB4">
      <w:pPr>
        <w:spacing w:line="480" w:lineRule="auto"/>
        <w:jc w:val="both"/>
        <w:rPr>
          <w:rFonts w:ascii="Times New Roman" w:eastAsia="Calibri" w:hAnsi="Times New Roman" w:cs="Times New Roman"/>
          <w:sz w:val="24"/>
          <w:szCs w:val="24"/>
        </w:rPr>
      </w:pPr>
      <w:r w:rsidRPr="00473828">
        <w:rPr>
          <w:rFonts w:ascii="Times New Roman" w:eastAsia="Calibri" w:hAnsi="Times New Roman" w:cs="Times New Roman"/>
          <w:bCs/>
          <w:sz w:val="24"/>
          <w:szCs w:val="24"/>
        </w:rPr>
        <w:t xml:space="preserve">a </w:t>
      </w:r>
      <w:r w:rsidRPr="00473828">
        <w:rPr>
          <w:rFonts w:ascii="Times New Roman" w:eastAsia="Calibri" w:hAnsi="Times New Roman" w:cs="Times New Roman"/>
          <w:bCs/>
          <w:sz w:val="24"/>
          <w:szCs w:val="24"/>
          <w:vertAlign w:val="subscript"/>
        </w:rPr>
        <w:t>NFL</w:t>
      </w:r>
      <w:r w:rsidRPr="00473828">
        <w:rPr>
          <w:rFonts w:ascii="Times New Roman" w:eastAsia="Calibri" w:hAnsi="Times New Roman" w:cs="Times New Roman"/>
          <w:bCs/>
          <w:sz w:val="24"/>
          <w:szCs w:val="24"/>
        </w:rPr>
        <w:t xml:space="preserve"> – a</w:t>
      </w:r>
      <w:r w:rsidRPr="00473828">
        <w:rPr>
          <w:rFonts w:ascii="Times New Roman" w:eastAsia="Calibri" w:hAnsi="Times New Roman" w:cs="Times New Roman"/>
          <w:bCs/>
          <w:sz w:val="24"/>
          <w:szCs w:val="24"/>
          <w:vertAlign w:val="subscript"/>
        </w:rPr>
        <w:t xml:space="preserve"> FL</w:t>
      </w:r>
      <w:r w:rsidRPr="00473828">
        <w:rPr>
          <w:rFonts w:ascii="Times New Roman" w:eastAsia="Calibri" w:hAnsi="Times New Roman" w:cs="Times New Roman"/>
          <w:bCs/>
          <w:sz w:val="24"/>
          <w:szCs w:val="24"/>
        </w:rPr>
        <w:t xml:space="preserve"> = 0, alternatively a </w:t>
      </w:r>
      <w:r w:rsidRPr="00473828">
        <w:rPr>
          <w:rFonts w:ascii="Times New Roman" w:eastAsia="Calibri" w:hAnsi="Times New Roman" w:cs="Times New Roman"/>
          <w:bCs/>
          <w:sz w:val="24"/>
          <w:szCs w:val="24"/>
          <w:vertAlign w:val="subscript"/>
        </w:rPr>
        <w:t>NFL</w:t>
      </w:r>
      <w:r w:rsidRPr="00473828">
        <w:rPr>
          <w:rFonts w:ascii="Times New Roman" w:eastAsia="Calibri" w:hAnsi="Times New Roman" w:cs="Times New Roman"/>
          <w:bCs/>
          <w:sz w:val="24"/>
          <w:szCs w:val="24"/>
        </w:rPr>
        <w:t xml:space="preserve"> = a</w:t>
      </w:r>
      <w:r w:rsidRPr="00473828">
        <w:rPr>
          <w:rFonts w:ascii="Times New Roman" w:eastAsia="Calibri" w:hAnsi="Times New Roman" w:cs="Times New Roman"/>
          <w:bCs/>
          <w:sz w:val="24"/>
          <w:szCs w:val="24"/>
          <w:vertAlign w:val="subscript"/>
        </w:rPr>
        <w:t xml:space="preserve"> FL</w:t>
      </w:r>
    </w:p>
    <w:p w:rsidR="00473828" w:rsidRDefault="00473828" w:rsidP="007B2CB4">
      <w:pPr>
        <w:spacing w:line="480" w:lineRule="auto"/>
        <w:jc w:val="both"/>
        <w:rPr>
          <w:rFonts w:ascii="Times New Roman" w:eastAsia="Calibri" w:hAnsi="Times New Roman" w:cs="Times New Roman"/>
          <w:bCs/>
          <w:sz w:val="24"/>
          <w:szCs w:val="24"/>
        </w:rPr>
      </w:pPr>
      <w:r w:rsidRPr="00473828">
        <w:rPr>
          <w:rFonts w:ascii="Times New Roman" w:eastAsia="Calibri" w:hAnsi="Times New Roman" w:cs="Times New Roman"/>
          <w:bCs/>
          <w:sz w:val="24"/>
          <w:szCs w:val="24"/>
        </w:rPr>
        <w:t xml:space="preserve">b </w:t>
      </w:r>
      <w:r w:rsidRPr="00473828">
        <w:rPr>
          <w:rFonts w:ascii="Times New Roman" w:eastAsia="Calibri" w:hAnsi="Times New Roman" w:cs="Times New Roman"/>
          <w:bCs/>
          <w:sz w:val="24"/>
          <w:szCs w:val="24"/>
          <w:vertAlign w:val="subscript"/>
        </w:rPr>
        <w:t>NFL</w:t>
      </w:r>
      <w:r w:rsidRPr="00473828">
        <w:rPr>
          <w:rFonts w:ascii="Times New Roman" w:eastAsia="Calibri" w:hAnsi="Times New Roman" w:cs="Times New Roman"/>
          <w:bCs/>
          <w:sz w:val="24"/>
          <w:szCs w:val="24"/>
        </w:rPr>
        <w:t xml:space="preserve"> – b</w:t>
      </w:r>
      <w:r w:rsidRPr="00473828">
        <w:rPr>
          <w:rFonts w:ascii="Times New Roman" w:eastAsia="Calibri" w:hAnsi="Times New Roman" w:cs="Times New Roman"/>
          <w:bCs/>
          <w:sz w:val="24"/>
          <w:szCs w:val="24"/>
          <w:vertAlign w:val="subscript"/>
        </w:rPr>
        <w:t xml:space="preserve"> FL</w:t>
      </w:r>
      <w:r w:rsidRPr="00473828">
        <w:rPr>
          <w:rFonts w:ascii="Times New Roman" w:eastAsia="Calibri" w:hAnsi="Times New Roman" w:cs="Times New Roman"/>
          <w:bCs/>
          <w:sz w:val="24"/>
          <w:szCs w:val="24"/>
        </w:rPr>
        <w:t xml:space="preserve"> = 0, alternatively b </w:t>
      </w:r>
      <w:r w:rsidRPr="00473828">
        <w:rPr>
          <w:rFonts w:ascii="Times New Roman" w:eastAsia="Calibri" w:hAnsi="Times New Roman" w:cs="Times New Roman"/>
          <w:bCs/>
          <w:sz w:val="24"/>
          <w:szCs w:val="24"/>
          <w:vertAlign w:val="subscript"/>
        </w:rPr>
        <w:t>NFL</w:t>
      </w:r>
      <w:r w:rsidRPr="00473828">
        <w:rPr>
          <w:rFonts w:ascii="Times New Roman" w:eastAsia="Calibri" w:hAnsi="Times New Roman" w:cs="Times New Roman"/>
          <w:bCs/>
          <w:sz w:val="24"/>
          <w:szCs w:val="24"/>
        </w:rPr>
        <w:t xml:space="preserve"> = b</w:t>
      </w:r>
      <w:r w:rsidRPr="00473828">
        <w:rPr>
          <w:rFonts w:ascii="Times New Roman" w:eastAsia="Calibri" w:hAnsi="Times New Roman" w:cs="Times New Roman"/>
          <w:bCs/>
          <w:sz w:val="24"/>
          <w:szCs w:val="24"/>
          <w:vertAlign w:val="subscript"/>
        </w:rPr>
        <w:t xml:space="preserve"> FL</w:t>
      </w:r>
    </w:p>
    <w:p w:rsidR="00F77ED3" w:rsidRPr="00473828" w:rsidRDefault="00F77ED3" w:rsidP="007B2CB4">
      <w:pPr>
        <w:spacing w:line="480" w:lineRule="auto"/>
        <w:jc w:val="both"/>
        <w:rPr>
          <w:rFonts w:ascii="Times New Roman" w:eastAsia="Calibri" w:hAnsi="Times New Roman" w:cs="Times New Roman"/>
          <w:sz w:val="24"/>
          <w:szCs w:val="24"/>
        </w:rPr>
      </w:pPr>
      <w:r w:rsidRPr="00F77ED3">
        <w:rPr>
          <w:rFonts w:ascii="Times New Roman" w:eastAsia="Calibri" w:hAnsi="Times New Roman" w:cs="Times New Roman"/>
          <w:sz w:val="24"/>
          <w:szCs w:val="24"/>
        </w:rPr>
        <w:t>Cond</w:t>
      </w:r>
      <w:r>
        <w:rPr>
          <w:rFonts w:ascii="Times New Roman" w:eastAsia="Calibri" w:hAnsi="Times New Roman" w:cs="Times New Roman"/>
          <w:sz w:val="24"/>
          <w:szCs w:val="24"/>
        </w:rPr>
        <w:t>itional SD</w:t>
      </w:r>
      <w:r w:rsidRPr="00F77ED3">
        <w:rPr>
          <w:rFonts w:ascii="Times New Roman" w:eastAsia="Calibri" w:hAnsi="Times New Roman" w:cs="Times New Roman"/>
          <w:sz w:val="24"/>
          <w:szCs w:val="24"/>
          <w:vertAlign w:val="subscript"/>
        </w:rPr>
        <w:t>NFL</w:t>
      </w:r>
      <w:r>
        <w:rPr>
          <w:rFonts w:ascii="Times New Roman" w:eastAsia="Calibri" w:hAnsi="Times New Roman" w:cs="Times New Roman"/>
          <w:sz w:val="24"/>
          <w:szCs w:val="24"/>
        </w:rPr>
        <w:t xml:space="preserve"> – Conditional SD </w:t>
      </w:r>
      <w:r w:rsidRPr="00F77ED3">
        <w:rPr>
          <w:rFonts w:ascii="Times New Roman" w:eastAsia="Calibri" w:hAnsi="Times New Roman" w:cs="Times New Roman"/>
          <w:sz w:val="24"/>
          <w:szCs w:val="24"/>
          <w:vertAlign w:val="subscript"/>
        </w:rPr>
        <w:t>FL</w:t>
      </w:r>
      <w:r w:rsidRPr="00F77ED3">
        <w:rPr>
          <w:rFonts w:ascii="Times New Roman" w:eastAsia="Calibri" w:hAnsi="Times New Roman" w:cs="Times New Roman"/>
          <w:sz w:val="24"/>
          <w:szCs w:val="24"/>
        </w:rPr>
        <w:t xml:space="preserve"> = 0, alternatively Conditional SD </w:t>
      </w:r>
      <w:r w:rsidRPr="00F77ED3">
        <w:rPr>
          <w:rFonts w:ascii="Times New Roman" w:eastAsia="Calibri" w:hAnsi="Times New Roman" w:cs="Times New Roman"/>
          <w:sz w:val="24"/>
          <w:szCs w:val="24"/>
          <w:vertAlign w:val="subscript"/>
        </w:rPr>
        <w:t>NFL</w:t>
      </w:r>
      <w:r w:rsidR="00467C8B">
        <w:rPr>
          <w:rFonts w:ascii="Times New Roman" w:eastAsia="Calibri" w:hAnsi="Times New Roman" w:cs="Times New Roman"/>
          <w:sz w:val="24"/>
          <w:szCs w:val="24"/>
        </w:rPr>
        <w:t xml:space="preserve"> = Conditional SD</w:t>
      </w:r>
      <w:r w:rsidRPr="00F77ED3">
        <w:rPr>
          <w:rFonts w:ascii="Times New Roman" w:eastAsia="Calibri" w:hAnsi="Times New Roman" w:cs="Times New Roman"/>
          <w:sz w:val="24"/>
          <w:szCs w:val="24"/>
          <w:vertAlign w:val="subscript"/>
        </w:rPr>
        <w:t>FL</w:t>
      </w:r>
    </w:p>
    <w:p w:rsidR="00F01556" w:rsidRDefault="00473828" w:rsidP="00A7111C">
      <w:pPr>
        <w:spacing w:line="480" w:lineRule="auto"/>
        <w:jc w:val="both"/>
        <w:rPr>
          <w:rFonts w:ascii="Times New Roman" w:eastAsia="Calibri" w:hAnsi="Times New Roman" w:cs="Times New Roman"/>
          <w:sz w:val="24"/>
          <w:szCs w:val="24"/>
        </w:rPr>
      </w:pPr>
      <w:r w:rsidRPr="00473828">
        <w:rPr>
          <w:rFonts w:ascii="Times New Roman" w:eastAsia="Calibri" w:hAnsi="Times New Roman" w:cs="Times New Roman"/>
          <w:b/>
          <w:bCs/>
          <w:sz w:val="24"/>
          <w:szCs w:val="24"/>
        </w:rPr>
        <w:t>H2</w:t>
      </w:r>
      <w:r w:rsidRPr="00473828">
        <w:rPr>
          <w:rFonts w:ascii="Times New Roman" w:eastAsia="Calibri" w:hAnsi="Times New Roman" w:cs="Times New Roman"/>
          <w:b/>
          <w:bCs/>
          <w:sz w:val="24"/>
          <w:szCs w:val="24"/>
          <w:vertAlign w:val="subscript"/>
        </w:rPr>
        <w:t>A</w:t>
      </w:r>
      <w:r w:rsidRPr="00473828">
        <w:rPr>
          <w:rFonts w:ascii="Times New Roman" w:eastAsia="Calibri" w:hAnsi="Times New Roman" w:cs="Times New Roman"/>
          <w:b/>
          <w:bCs/>
          <w:sz w:val="24"/>
          <w:szCs w:val="24"/>
        </w:rPr>
        <w:t xml:space="preserve">:        </w:t>
      </w:r>
      <w:r w:rsidRPr="00473828">
        <w:rPr>
          <w:rFonts w:ascii="Times New Roman" w:eastAsia="Calibri" w:hAnsi="Times New Roman" w:cs="Times New Roman"/>
          <w:sz w:val="24"/>
          <w:szCs w:val="24"/>
        </w:rPr>
        <w:t>Futures listing does alter the volatility dynamics of underlying stock returns</w:t>
      </w:r>
    </w:p>
    <w:p w:rsidR="00B003C6" w:rsidRPr="00B003C6" w:rsidRDefault="00B003C6" w:rsidP="00B003C6">
      <w:bookmarkStart w:id="12" w:name="_Toc520219898"/>
    </w:p>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Pr="009E25D3" w:rsidRDefault="009E25D3" w:rsidP="009E25D3"/>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Default="009E25D3" w:rsidP="0061409B">
      <w:pPr>
        <w:pStyle w:val="Heading1"/>
        <w:rPr>
          <w:rFonts w:ascii="Times New Roman" w:hAnsi="Times New Roman" w:cs="Times New Roman"/>
          <w:b/>
          <w:color w:val="000000" w:themeColor="text1"/>
          <w:sz w:val="28"/>
          <w:szCs w:val="24"/>
        </w:rPr>
      </w:pPr>
    </w:p>
    <w:p w:rsidR="009E25D3" w:rsidRPr="009E25D3" w:rsidRDefault="009E25D3" w:rsidP="009E25D3"/>
    <w:p w:rsidR="001B46AF" w:rsidRDefault="0061409B" w:rsidP="0061409B">
      <w:pPr>
        <w:pStyle w:val="Heading1"/>
        <w:rPr>
          <w:rFonts w:ascii="Times New Roman" w:hAnsi="Times New Roman" w:cs="Times New Roman"/>
          <w:b/>
          <w:color w:val="000000" w:themeColor="text1"/>
          <w:sz w:val="28"/>
          <w:szCs w:val="24"/>
        </w:rPr>
      </w:pPr>
      <w:r w:rsidRPr="0061409B">
        <w:rPr>
          <w:rFonts w:ascii="Times New Roman" w:hAnsi="Times New Roman" w:cs="Times New Roman"/>
          <w:b/>
          <w:color w:val="000000" w:themeColor="text1"/>
          <w:sz w:val="28"/>
          <w:szCs w:val="24"/>
        </w:rPr>
        <w:t>C</w:t>
      </w:r>
      <w:r w:rsidR="00CF5F76">
        <w:rPr>
          <w:rFonts w:ascii="Times New Roman" w:hAnsi="Times New Roman" w:cs="Times New Roman"/>
          <w:b/>
          <w:color w:val="000000" w:themeColor="text1"/>
          <w:sz w:val="28"/>
          <w:szCs w:val="24"/>
        </w:rPr>
        <w:t>HAPTER 4</w:t>
      </w:r>
      <w:r w:rsidRPr="0061409B">
        <w:rPr>
          <w:rFonts w:ascii="Times New Roman" w:hAnsi="Times New Roman" w:cs="Times New Roman"/>
          <w:b/>
          <w:color w:val="000000" w:themeColor="text1"/>
          <w:sz w:val="28"/>
          <w:szCs w:val="24"/>
        </w:rPr>
        <w:t>: Results and Analysis</w:t>
      </w:r>
      <w:bookmarkEnd w:id="0"/>
      <w:bookmarkEnd w:id="12"/>
    </w:p>
    <w:p w:rsidR="0061409B" w:rsidRDefault="0061409B" w:rsidP="0061409B"/>
    <w:p w:rsidR="003A2410" w:rsidRPr="00FF5C1C" w:rsidRDefault="00CF5F76" w:rsidP="00FF5C1C">
      <w:pPr>
        <w:pStyle w:val="Heading2"/>
        <w:spacing w:after="240"/>
        <w:rPr>
          <w:rFonts w:ascii="Times New Roman" w:hAnsi="Times New Roman" w:cs="Times New Roman"/>
          <w:b/>
          <w:color w:val="000000" w:themeColor="text1"/>
          <w:sz w:val="24"/>
        </w:rPr>
      </w:pPr>
      <w:bookmarkStart w:id="13" w:name="_Toc519877295"/>
      <w:bookmarkStart w:id="14" w:name="_Toc520219899"/>
      <w:r>
        <w:rPr>
          <w:rFonts w:ascii="Times New Roman" w:hAnsi="Times New Roman" w:cs="Times New Roman"/>
          <w:b/>
          <w:color w:val="000000" w:themeColor="text1"/>
          <w:sz w:val="24"/>
        </w:rPr>
        <w:t>4</w:t>
      </w:r>
      <w:r w:rsidR="0061409B" w:rsidRPr="0061409B">
        <w:rPr>
          <w:rFonts w:ascii="Times New Roman" w:hAnsi="Times New Roman" w:cs="Times New Roman"/>
          <w:b/>
          <w:color w:val="000000" w:themeColor="text1"/>
          <w:sz w:val="24"/>
        </w:rPr>
        <w:t>.1 Descriptive Statistics</w:t>
      </w:r>
      <w:bookmarkEnd w:id="13"/>
      <w:bookmarkEnd w:id="14"/>
    </w:p>
    <w:p w:rsidR="00FF5C1C" w:rsidRPr="00FE148F" w:rsidRDefault="003A2410" w:rsidP="00FE148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part focuses on the general </w:t>
      </w:r>
      <w:r w:rsidR="007618C8">
        <w:rPr>
          <w:rFonts w:ascii="Times New Roman" w:hAnsi="Times New Roman" w:cs="Times New Roman"/>
          <w:sz w:val="24"/>
          <w:szCs w:val="24"/>
        </w:rPr>
        <w:t xml:space="preserve">summary statistics and description of our data. </w:t>
      </w:r>
      <w:r w:rsidR="00FE148F">
        <w:rPr>
          <w:rFonts w:ascii="Times New Roman" w:hAnsi="Times New Roman" w:cs="Times New Roman"/>
          <w:sz w:val="24"/>
          <w:szCs w:val="24"/>
        </w:rPr>
        <w:t xml:space="preserve">This part enlightens some of the basic analysis of our data. </w:t>
      </w:r>
    </w:p>
    <w:tbl>
      <w:tblPr>
        <w:tblStyle w:val="TableGrid"/>
        <w:tblpPr w:leftFromText="180" w:rightFromText="180" w:vertAnchor="page" w:horzAnchor="margin" w:tblpY="4486"/>
        <w:tblW w:w="8473" w:type="dxa"/>
        <w:tblLook w:val="04A0"/>
      </w:tblPr>
      <w:tblGrid>
        <w:gridCol w:w="5125"/>
        <w:gridCol w:w="1441"/>
        <w:gridCol w:w="1907"/>
      </w:tblGrid>
      <w:tr w:rsidR="00FF5C1C" w:rsidRPr="00FF0F92" w:rsidTr="002E6858">
        <w:trPr>
          <w:trHeight w:val="261"/>
        </w:trPr>
        <w:tc>
          <w:tcPr>
            <w:tcW w:w="5125" w:type="dxa"/>
            <w:noWrap/>
            <w:hideMark/>
          </w:tcPr>
          <w:p w:rsidR="00FF5C1C" w:rsidRPr="002E6858" w:rsidRDefault="00FF5C1C" w:rsidP="00FF5C1C">
            <w:pPr>
              <w:rPr>
                <w:rFonts w:ascii="Times New Roman" w:eastAsia="Times New Roman" w:hAnsi="Times New Roman" w:cs="Times New Roman"/>
                <w:b/>
                <w:bCs/>
                <w:color w:val="000000"/>
                <w:lang w:val="en-GB" w:eastAsia="en-GB"/>
              </w:rPr>
            </w:pPr>
            <w:r w:rsidRPr="002E6858">
              <w:rPr>
                <w:rFonts w:ascii="Times New Roman" w:eastAsia="Times New Roman" w:hAnsi="Times New Roman" w:cs="Times New Roman"/>
                <w:b/>
                <w:bCs/>
                <w:color w:val="000000"/>
                <w:lang w:val="en-GB" w:eastAsia="en-GB"/>
              </w:rPr>
              <w:lastRenderedPageBreak/>
              <w:t>Sector Name</w:t>
            </w:r>
          </w:p>
        </w:tc>
        <w:tc>
          <w:tcPr>
            <w:tcW w:w="1441" w:type="dxa"/>
            <w:noWrap/>
            <w:hideMark/>
          </w:tcPr>
          <w:p w:rsidR="00FF5C1C" w:rsidRPr="002E6858" w:rsidRDefault="00FF5C1C" w:rsidP="00FF5C1C">
            <w:pPr>
              <w:jc w:val="center"/>
              <w:rPr>
                <w:rFonts w:ascii="Times New Roman" w:eastAsia="Times New Roman" w:hAnsi="Times New Roman" w:cs="Times New Roman"/>
                <w:b/>
                <w:bCs/>
                <w:color w:val="000000"/>
                <w:lang w:val="en-GB" w:eastAsia="en-GB"/>
              </w:rPr>
            </w:pPr>
            <w:r w:rsidRPr="002E6858">
              <w:rPr>
                <w:rFonts w:ascii="Times New Roman" w:eastAsia="Times New Roman" w:hAnsi="Times New Roman" w:cs="Times New Roman"/>
                <w:b/>
                <w:bCs/>
                <w:color w:val="000000"/>
                <w:lang w:val="en-GB" w:eastAsia="en-GB"/>
              </w:rPr>
              <w:t>No. of Companies</w:t>
            </w:r>
          </w:p>
        </w:tc>
        <w:tc>
          <w:tcPr>
            <w:tcW w:w="1907" w:type="dxa"/>
            <w:noWrap/>
            <w:hideMark/>
          </w:tcPr>
          <w:p w:rsidR="00FF5C1C" w:rsidRPr="002E6858" w:rsidRDefault="00FF5C1C" w:rsidP="00FF5C1C">
            <w:pPr>
              <w:jc w:val="center"/>
              <w:rPr>
                <w:rFonts w:ascii="Times New Roman" w:eastAsia="Times New Roman" w:hAnsi="Times New Roman" w:cs="Times New Roman"/>
                <w:b/>
                <w:bCs/>
                <w:color w:val="000000"/>
                <w:lang w:val="en-GB" w:eastAsia="en-GB"/>
              </w:rPr>
            </w:pPr>
            <w:r w:rsidRPr="002E6858">
              <w:rPr>
                <w:rFonts w:ascii="Times New Roman" w:eastAsia="Times New Roman" w:hAnsi="Times New Roman" w:cs="Times New Roman"/>
                <w:b/>
                <w:bCs/>
                <w:color w:val="000000"/>
                <w:lang w:val="en-GB" w:eastAsia="en-GB"/>
              </w:rPr>
              <w:t>Percent</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Commercial Banks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14</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15.56</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Cement</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8</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8.89</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Fertilizer</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7</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7.78</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Food &amp; Personal Care Products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5</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5.56</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Insurance</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5</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5.56</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Automobile Assemblers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4</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4.44</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Automobile Parts &amp; Accessories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Cable &amp; Electrical Goods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Chemical</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2</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2.22</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Close - End Mutual Fund</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Engineering</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Glass &amp; Ceramics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INV. BANKS / INV. COS. / SECURITIES COS.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Leasing Companies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Leather &amp; Tanneries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2</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2.22</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Miscellaneous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2</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2.22</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Modarabas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bCs/>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bCs/>
                <w:color w:val="000000" w:themeColor="text1"/>
                <w:kern w:val="24"/>
                <w:lang w:val="en-GB"/>
              </w:rPr>
              <w:t>1.11</w:t>
            </w:r>
          </w:p>
        </w:tc>
      </w:tr>
      <w:tr w:rsidR="002E6858" w:rsidRPr="00FF0F92" w:rsidTr="002E6858">
        <w:trPr>
          <w:trHeight w:val="261"/>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Oil &amp; Gas Exploration Companies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bCs/>
                <w:color w:val="000000" w:themeColor="text1"/>
                <w:kern w:val="24"/>
                <w:lang w:val="en-GB"/>
              </w:rPr>
              <w:t>4</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bCs/>
                <w:color w:val="000000" w:themeColor="text1"/>
                <w:kern w:val="24"/>
                <w:lang w:val="en-GB"/>
              </w:rPr>
              <w:t>4.44</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Oil &amp; Gas Marketing Companies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4</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4.44</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Paper &amp; Board</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Pharmaceuticals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3</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3.33</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Power Generation &amp; Distribution</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4</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4.44</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Real Estate Investment Trust</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Refinery</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2</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2.22</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Sugar &amp; Allied Industries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Synthetic &amp; Rayon</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Technology &amp; Communication</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3</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3.33</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Textile Composite</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3</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3.33</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Textile Weaving</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Tobacco</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Transport</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2</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2.22</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color w:val="000000"/>
                <w:lang w:val="en-GB" w:eastAsia="en-GB"/>
              </w:rPr>
            </w:pPr>
            <w:r w:rsidRPr="002E6858">
              <w:rPr>
                <w:rFonts w:ascii="Times New Roman" w:hAnsi="Times New Roman" w:cs="Times New Roman"/>
                <w:b/>
                <w:bCs/>
                <w:color w:val="000000" w:themeColor="text1"/>
                <w:kern w:val="24"/>
                <w:lang w:val="en-GB"/>
              </w:rPr>
              <w:t>Vanaspati &amp; Allied Industries</w:t>
            </w:r>
          </w:p>
        </w:tc>
        <w:tc>
          <w:tcPr>
            <w:tcW w:w="1441"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hideMark/>
          </w:tcPr>
          <w:p w:rsidR="002E6858" w:rsidRPr="002E6858" w:rsidRDefault="002E6858" w:rsidP="002E6858">
            <w:pPr>
              <w:rPr>
                <w:rFonts w:ascii="Times New Roman" w:eastAsia="Times New Roman" w:hAnsi="Times New Roman" w:cs="Times New Roman"/>
                <w:b/>
                <w:bCs/>
                <w:color w:val="000000"/>
                <w:lang w:val="en-GB" w:eastAsia="en-GB"/>
              </w:rPr>
            </w:pPr>
            <w:r w:rsidRPr="002E6858">
              <w:rPr>
                <w:rFonts w:ascii="Times New Roman" w:hAnsi="Times New Roman" w:cs="Times New Roman"/>
                <w:b/>
                <w:bCs/>
                <w:color w:val="000000" w:themeColor="text1"/>
                <w:kern w:val="24"/>
                <w:lang w:val="en-GB"/>
              </w:rPr>
              <w:t>Woolen</w:t>
            </w:r>
          </w:p>
        </w:tc>
        <w:tc>
          <w:tcPr>
            <w:tcW w:w="1441" w:type="dxa"/>
            <w:noWrap/>
            <w:hideMark/>
          </w:tcPr>
          <w:p w:rsidR="002E6858" w:rsidRPr="002E6858" w:rsidRDefault="002E6858" w:rsidP="002E6858">
            <w:pPr>
              <w:jc w:val="center"/>
              <w:rPr>
                <w:rFonts w:ascii="Times New Roman" w:eastAsia="Times New Roman" w:hAnsi="Times New Roman" w:cs="Times New Roman"/>
                <w:b/>
                <w:bCs/>
                <w:color w:val="000000"/>
                <w:lang w:val="en-GB" w:eastAsia="en-GB"/>
              </w:rPr>
            </w:pPr>
            <w:r w:rsidRPr="002E6858">
              <w:rPr>
                <w:rFonts w:ascii="Times New Roman" w:hAnsi="Times New Roman" w:cs="Times New Roman"/>
                <w:color w:val="000000" w:themeColor="text1"/>
                <w:kern w:val="24"/>
                <w:lang w:val="en-GB"/>
              </w:rPr>
              <w:t>1</w:t>
            </w:r>
          </w:p>
        </w:tc>
        <w:tc>
          <w:tcPr>
            <w:tcW w:w="1907" w:type="dxa"/>
            <w:noWrap/>
            <w:hideMark/>
          </w:tcPr>
          <w:p w:rsidR="002E6858" w:rsidRPr="002E6858" w:rsidRDefault="002E6858" w:rsidP="002E6858">
            <w:pPr>
              <w:jc w:val="center"/>
              <w:rPr>
                <w:rFonts w:ascii="Times New Roman" w:eastAsia="Times New Roman" w:hAnsi="Times New Roman" w:cs="Times New Roman"/>
                <w:b/>
                <w:bCs/>
                <w:color w:val="000000"/>
                <w:lang w:val="en-GB" w:eastAsia="en-GB"/>
              </w:rPr>
            </w:pPr>
            <w:r w:rsidRPr="002E6858">
              <w:rPr>
                <w:rFonts w:ascii="Times New Roman" w:hAnsi="Times New Roman" w:cs="Times New Roman"/>
                <w:color w:val="000000" w:themeColor="text1"/>
                <w:kern w:val="24"/>
                <w:lang w:val="en-GB"/>
              </w:rPr>
              <w:t>1.11</w:t>
            </w:r>
          </w:p>
        </w:tc>
      </w:tr>
      <w:tr w:rsidR="002E6858" w:rsidRPr="00FF0F92" w:rsidTr="002E6858">
        <w:trPr>
          <w:trHeight w:val="260"/>
        </w:trPr>
        <w:tc>
          <w:tcPr>
            <w:tcW w:w="5125" w:type="dxa"/>
            <w:noWrap/>
          </w:tcPr>
          <w:p w:rsidR="002E6858" w:rsidRPr="002E6858" w:rsidRDefault="002E6858" w:rsidP="002E6858">
            <w:pPr>
              <w:rPr>
                <w:rFonts w:ascii="Times New Roman" w:hAnsi="Times New Roman" w:cs="Times New Roman"/>
                <w:b/>
                <w:bCs/>
                <w:color w:val="000000" w:themeColor="text1"/>
                <w:kern w:val="24"/>
                <w:lang w:val="en-GB"/>
              </w:rPr>
            </w:pPr>
            <w:r>
              <w:rPr>
                <w:rFonts w:ascii="Times New Roman" w:hAnsi="Times New Roman" w:cs="Times New Roman"/>
                <w:b/>
                <w:bCs/>
                <w:color w:val="000000" w:themeColor="text1"/>
                <w:kern w:val="24"/>
                <w:lang w:val="en-GB"/>
              </w:rPr>
              <w:t xml:space="preserve">Total </w:t>
            </w:r>
          </w:p>
        </w:tc>
        <w:tc>
          <w:tcPr>
            <w:tcW w:w="1441" w:type="dxa"/>
            <w:noWrap/>
          </w:tcPr>
          <w:p w:rsidR="002E6858" w:rsidRPr="002E6858" w:rsidRDefault="002E6858" w:rsidP="002E6858">
            <w:pPr>
              <w:jc w:val="center"/>
              <w:rPr>
                <w:rFonts w:ascii="Times New Roman" w:hAnsi="Times New Roman" w:cs="Times New Roman"/>
                <w:b/>
                <w:color w:val="000000" w:themeColor="text1"/>
                <w:kern w:val="24"/>
                <w:lang w:val="en-GB"/>
              </w:rPr>
            </w:pPr>
            <w:r w:rsidRPr="002E6858">
              <w:rPr>
                <w:rFonts w:ascii="Times New Roman" w:hAnsi="Times New Roman" w:cs="Times New Roman"/>
                <w:b/>
                <w:color w:val="000000" w:themeColor="text1"/>
                <w:kern w:val="24"/>
                <w:lang w:val="en-GB"/>
              </w:rPr>
              <w:t>90</w:t>
            </w:r>
          </w:p>
        </w:tc>
        <w:tc>
          <w:tcPr>
            <w:tcW w:w="1907" w:type="dxa"/>
            <w:noWrap/>
          </w:tcPr>
          <w:p w:rsidR="002E6858" w:rsidRPr="002E6858" w:rsidRDefault="002E6858" w:rsidP="002E6858">
            <w:pPr>
              <w:jc w:val="center"/>
              <w:rPr>
                <w:rFonts w:ascii="Times New Roman" w:hAnsi="Times New Roman" w:cs="Times New Roman"/>
                <w:b/>
                <w:color w:val="000000" w:themeColor="text1"/>
                <w:kern w:val="24"/>
                <w:lang w:val="en-GB"/>
              </w:rPr>
            </w:pPr>
            <w:r w:rsidRPr="002E6858">
              <w:rPr>
                <w:rFonts w:ascii="Times New Roman" w:hAnsi="Times New Roman" w:cs="Times New Roman"/>
                <w:b/>
                <w:color w:val="000000" w:themeColor="text1"/>
                <w:kern w:val="24"/>
                <w:lang w:val="en-GB"/>
              </w:rPr>
              <w:t>100</w:t>
            </w:r>
          </w:p>
        </w:tc>
      </w:tr>
    </w:tbl>
    <w:p w:rsidR="00F96496" w:rsidRPr="00BC1A4A" w:rsidRDefault="005D2D3C" w:rsidP="00BC1A4A">
      <w:pPr>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Table 3</w:t>
      </w:r>
      <w:r w:rsidR="00FF0F92" w:rsidRPr="00FF0F92">
        <w:rPr>
          <w:rFonts w:ascii="Times New Roman" w:eastAsia="Calibri" w:hAnsi="Times New Roman" w:cs="Times New Roman"/>
          <w:b/>
          <w:sz w:val="24"/>
          <w:szCs w:val="24"/>
          <w:lang w:val="en-GB"/>
        </w:rPr>
        <w:t>:</w:t>
      </w:r>
      <w:r w:rsidR="005D06A8">
        <w:rPr>
          <w:rFonts w:ascii="Times New Roman" w:eastAsia="Calibri" w:hAnsi="Times New Roman" w:cs="Times New Roman"/>
          <w:b/>
          <w:sz w:val="24"/>
          <w:szCs w:val="24"/>
          <w:lang w:val="en-GB"/>
        </w:rPr>
        <w:t xml:space="preserve"> Number of Companies within each sector</w:t>
      </w:r>
    </w:p>
    <w:p w:rsidR="0068083A" w:rsidRDefault="0068083A" w:rsidP="00FF0F92">
      <w:pPr>
        <w:spacing w:line="480" w:lineRule="auto"/>
        <w:jc w:val="both"/>
        <w:rPr>
          <w:rFonts w:ascii="Times New Roman" w:eastAsia="Calibri" w:hAnsi="Times New Roman" w:cs="Times New Roman"/>
          <w:sz w:val="24"/>
          <w:szCs w:val="24"/>
          <w:lang w:val="en-GB"/>
        </w:rPr>
      </w:pPr>
    </w:p>
    <w:p w:rsidR="0068083A" w:rsidRDefault="0068083A" w:rsidP="00FF0F92">
      <w:pPr>
        <w:spacing w:line="480" w:lineRule="auto"/>
        <w:jc w:val="both"/>
        <w:rPr>
          <w:rFonts w:ascii="Times New Roman" w:eastAsia="Calibri" w:hAnsi="Times New Roman" w:cs="Times New Roman"/>
          <w:sz w:val="24"/>
          <w:szCs w:val="24"/>
          <w:lang w:val="en-GB"/>
        </w:rPr>
      </w:pPr>
    </w:p>
    <w:p w:rsidR="0068083A" w:rsidRDefault="0068083A" w:rsidP="00FF0F92">
      <w:pPr>
        <w:spacing w:line="480" w:lineRule="auto"/>
        <w:jc w:val="both"/>
        <w:rPr>
          <w:rFonts w:ascii="Times New Roman" w:eastAsia="Calibri" w:hAnsi="Times New Roman" w:cs="Times New Roman"/>
          <w:sz w:val="24"/>
          <w:szCs w:val="24"/>
          <w:lang w:val="en-GB"/>
        </w:rPr>
      </w:pPr>
    </w:p>
    <w:p w:rsidR="0068083A" w:rsidRDefault="0068083A" w:rsidP="00FF0F92">
      <w:pPr>
        <w:spacing w:line="480" w:lineRule="auto"/>
        <w:jc w:val="both"/>
        <w:rPr>
          <w:rFonts w:ascii="Times New Roman" w:eastAsia="Calibri" w:hAnsi="Times New Roman" w:cs="Times New Roman"/>
          <w:sz w:val="24"/>
          <w:szCs w:val="24"/>
          <w:lang w:val="en-GB"/>
        </w:rPr>
      </w:pPr>
    </w:p>
    <w:p w:rsidR="007C70BE" w:rsidRDefault="007C70BE" w:rsidP="00FF0F92">
      <w:pPr>
        <w:spacing w:line="480" w:lineRule="auto"/>
        <w:jc w:val="both"/>
        <w:rPr>
          <w:rFonts w:ascii="Times New Roman" w:eastAsia="Calibri" w:hAnsi="Times New Roman" w:cs="Times New Roman"/>
          <w:sz w:val="24"/>
          <w:szCs w:val="24"/>
          <w:lang w:val="en-GB"/>
        </w:rPr>
      </w:pPr>
    </w:p>
    <w:p w:rsidR="007C70BE" w:rsidRDefault="007C70BE" w:rsidP="00FF0F92">
      <w:pPr>
        <w:spacing w:line="480" w:lineRule="auto"/>
        <w:jc w:val="both"/>
        <w:rPr>
          <w:rFonts w:ascii="Times New Roman" w:eastAsia="Calibri" w:hAnsi="Times New Roman" w:cs="Times New Roman"/>
          <w:sz w:val="24"/>
          <w:szCs w:val="24"/>
          <w:lang w:val="en-GB"/>
        </w:rPr>
      </w:pPr>
    </w:p>
    <w:p w:rsidR="007C70BE" w:rsidRDefault="007C70BE" w:rsidP="00FF0F92">
      <w:pPr>
        <w:spacing w:line="480" w:lineRule="auto"/>
        <w:jc w:val="both"/>
        <w:rPr>
          <w:rFonts w:ascii="Times New Roman" w:eastAsia="Calibri" w:hAnsi="Times New Roman" w:cs="Times New Roman"/>
          <w:sz w:val="24"/>
          <w:szCs w:val="24"/>
          <w:lang w:val="en-GB"/>
        </w:rPr>
      </w:pPr>
    </w:p>
    <w:p w:rsidR="00E62B10" w:rsidRDefault="00E62B10" w:rsidP="00FF0F92">
      <w:pPr>
        <w:spacing w:line="480" w:lineRule="auto"/>
        <w:jc w:val="both"/>
        <w:rPr>
          <w:rFonts w:ascii="Times New Roman" w:eastAsia="Calibri" w:hAnsi="Times New Roman" w:cs="Times New Roman"/>
          <w:sz w:val="24"/>
          <w:szCs w:val="24"/>
          <w:lang w:val="en-GB"/>
        </w:rPr>
      </w:pPr>
    </w:p>
    <w:p w:rsidR="00E62B10" w:rsidRDefault="00E62B10" w:rsidP="00FF0F92">
      <w:pPr>
        <w:spacing w:line="480" w:lineRule="auto"/>
        <w:jc w:val="both"/>
        <w:rPr>
          <w:rFonts w:ascii="Times New Roman" w:eastAsia="Calibri" w:hAnsi="Times New Roman" w:cs="Times New Roman"/>
          <w:sz w:val="24"/>
          <w:szCs w:val="24"/>
          <w:lang w:val="en-GB"/>
        </w:rPr>
      </w:pPr>
    </w:p>
    <w:p w:rsidR="00E62B10" w:rsidRDefault="00E62B10" w:rsidP="00FF0F92">
      <w:pPr>
        <w:spacing w:line="480" w:lineRule="auto"/>
        <w:jc w:val="both"/>
        <w:rPr>
          <w:rFonts w:ascii="Times New Roman" w:eastAsia="Calibri" w:hAnsi="Times New Roman" w:cs="Times New Roman"/>
          <w:sz w:val="24"/>
          <w:szCs w:val="24"/>
          <w:lang w:val="en-GB"/>
        </w:rPr>
      </w:pPr>
    </w:p>
    <w:p w:rsidR="00BC1A4A" w:rsidRDefault="00BC1A4A" w:rsidP="00FF0F92">
      <w:pPr>
        <w:spacing w:line="480" w:lineRule="auto"/>
        <w:jc w:val="both"/>
        <w:rPr>
          <w:rFonts w:ascii="Times New Roman" w:eastAsia="Calibri" w:hAnsi="Times New Roman" w:cs="Times New Roman"/>
          <w:sz w:val="24"/>
          <w:szCs w:val="24"/>
          <w:lang w:val="en-GB"/>
        </w:rPr>
      </w:pPr>
    </w:p>
    <w:p w:rsidR="00BC1A4A" w:rsidRDefault="00BC1A4A" w:rsidP="00FF0F92">
      <w:pPr>
        <w:spacing w:line="480" w:lineRule="auto"/>
        <w:jc w:val="both"/>
        <w:rPr>
          <w:rFonts w:ascii="Times New Roman" w:eastAsia="Calibri" w:hAnsi="Times New Roman" w:cs="Times New Roman"/>
          <w:sz w:val="24"/>
          <w:szCs w:val="24"/>
          <w:lang w:val="en-GB"/>
        </w:rPr>
      </w:pPr>
    </w:p>
    <w:p w:rsidR="00BC1A4A" w:rsidRDefault="00BC1A4A" w:rsidP="00FF0F92">
      <w:pPr>
        <w:spacing w:line="480" w:lineRule="auto"/>
        <w:jc w:val="both"/>
        <w:rPr>
          <w:rFonts w:ascii="Times New Roman" w:eastAsia="Calibri" w:hAnsi="Times New Roman" w:cs="Times New Roman"/>
          <w:sz w:val="24"/>
          <w:szCs w:val="24"/>
          <w:lang w:val="en-GB"/>
        </w:rPr>
      </w:pPr>
    </w:p>
    <w:p w:rsidR="00FF0F92" w:rsidRPr="00FF0F92" w:rsidRDefault="00FF0F92" w:rsidP="00FF0F92">
      <w:pPr>
        <w:spacing w:line="480" w:lineRule="auto"/>
        <w:jc w:val="both"/>
        <w:rPr>
          <w:rFonts w:ascii="Times New Roman" w:eastAsia="Calibri" w:hAnsi="Times New Roman" w:cs="Times New Roman"/>
          <w:sz w:val="24"/>
          <w:szCs w:val="24"/>
          <w:lang w:val="en-GB"/>
        </w:rPr>
      </w:pPr>
      <w:r w:rsidRPr="00FF0F92">
        <w:rPr>
          <w:rFonts w:ascii="Times New Roman" w:eastAsia="Calibri" w:hAnsi="Times New Roman" w:cs="Times New Roman"/>
          <w:sz w:val="24"/>
          <w:szCs w:val="24"/>
          <w:lang w:val="en-GB"/>
        </w:rPr>
        <w:t>The above table</w:t>
      </w:r>
      <w:r w:rsidR="005D2D3C">
        <w:rPr>
          <w:rFonts w:ascii="Times New Roman" w:eastAsia="Calibri" w:hAnsi="Times New Roman" w:cs="Times New Roman"/>
          <w:sz w:val="24"/>
          <w:szCs w:val="24"/>
          <w:lang w:val="en-GB"/>
        </w:rPr>
        <w:t xml:space="preserve"> 3</w:t>
      </w:r>
      <w:r w:rsidRPr="00FF0F92">
        <w:rPr>
          <w:rFonts w:ascii="Times New Roman" w:eastAsia="Calibri" w:hAnsi="Times New Roman" w:cs="Times New Roman"/>
          <w:sz w:val="24"/>
          <w:szCs w:val="24"/>
          <w:lang w:val="en-GB"/>
        </w:rPr>
        <w:t xml:space="preserve"> shows the </w:t>
      </w:r>
      <w:r w:rsidRPr="00FF0F92">
        <w:rPr>
          <w:rFonts w:ascii="Times New Roman" w:eastAsia="Calibri" w:hAnsi="Times New Roman" w:cs="Times New Roman"/>
          <w:sz w:val="24"/>
          <w:szCs w:val="24"/>
          <w:lang w:val="en-GB"/>
        </w:rPr>
        <w:lastRenderedPageBreak/>
        <w:t>sector wise bifurcation of 90 companies whose stocks are listed on PSX, 15.56 % of total listed stocks on KSE 100 index are of Commercial Banks, other sectors with a reasonable number of listed companies are Cement &amp; Fertilizer, whose stocks make up almost 8.89% &amp; 7.78% of the total listed stocks on KSE 100 index</w:t>
      </w:r>
      <w:r>
        <w:rPr>
          <w:rFonts w:ascii="Times New Roman" w:eastAsia="Calibri" w:hAnsi="Times New Roman" w:cs="Times New Roman"/>
          <w:sz w:val="24"/>
          <w:szCs w:val="24"/>
          <w:lang w:val="en-GB"/>
        </w:rPr>
        <w:t xml:space="preserve">. </w:t>
      </w:r>
    </w:p>
    <w:p w:rsidR="00FF0F92" w:rsidRPr="005D2D3C" w:rsidRDefault="005D2D3C" w:rsidP="00FF0F92">
      <w:pPr>
        <w:jc w:val="both"/>
        <w:rPr>
          <w:rFonts w:ascii="Times New Roman" w:eastAsia="Calibri" w:hAnsi="Times New Roman" w:cs="Times New Roman"/>
          <w:b/>
          <w:sz w:val="24"/>
          <w:szCs w:val="24"/>
          <w:lang w:val="en-GB"/>
        </w:rPr>
      </w:pPr>
      <w:r w:rsidRPr="005D2D3C">
        <w:rPr>
          <w:rFonts w:ascii="Times New Roman" w:eastAsia="Calibri" w:hAnsi="Times New Roman" w:cs="Times New Roman"/>
          <w:b/>
          <w:sz w:val="24"/>
          <w:szCs w:val="24"/>
          <w:lang w:val="en-GB"/>
        </w:rPr>
        <w:t>Table 4</w:t>
      </w:r>
      <w:r w:rsidR="00FF0F92" w:rsidRPr="005D2D3C">
        <w:rPr>
          <w:rFonts w:ascii="Times New Roman" w:eastAsia="Calibri" w:hAnsi="Times New Roman" w:cs="Times New Roman"/>
          <w:b/>
          <w:sz w:val="24"/>
          <w:szCs w:val="24"/>
          <w:lang w:val="en-GB"/>
        </w:rPr>
        <w:t>:</w:t>
      </w:r>
      <w:r>
        <w:rPr>
          <w:rFonts w:ascii="Times New Roman" w:eastAsia="Calibri" w:hAnsi="Times New Roman" w:cs="Times New Roman"/>
          <w:b/>
          <w:sz w:val="24"/>
          <w:szCs w:val="24"/>
          <w:lang w:val="en-GB"/>
        </w:rPr>
        <w:t xml:space="preserve"> Period wise </w:t>
      </w:r>
      <w:r w:rsidR="00031319">
        <w:rPr>
          <w:rFonts w:ascii="Times New Roman" w:eastAsia="Calibri" w:hAnsi="Times New Roman" w:cs="Times New Roman"/>
          <w:b/>
          <w:sz w:val="24"/>
          <w:szCs w:val="24"/>
          <w:lang w:val="en-GB"/>
        </w:rPr>
        <w:t xml:space="preserve">KSE 100 </w:t>
      </w:r>
      <w:r>
        <w:rPr>
          <w:rFonts w:ascii="Times New Roman" w:eastAsia="Calibri" w:hAnsi="Times New Roman" w:cs="Times New Roman"/>
          <w:b/>
          <w:sz w:val="24"/>
          <w:szCs w:val="24"/>
          <w:lang w:val="en-GB"/>
        </w:rPr>
        <w:t>Index Listed Companies</w:t>
      </w:r>
    </w:p>
    <w:tbl>
      <w:tblPr>
        <w:tblW w:w="5380" w:type="dxa"/>
        <w:tblLook w:val="04A0"/>
      </w:tblPr>
      <w:tblGrid>
        <w:gridCol w:w="2280"/>
        <w:gridCol w:w="3100"/>
      </w:tblGrid>
      <w:tr w:rsidR="00FF0F92" w:rsidRPr="00FF0F92" w:rsidTr="005A3246">
        <w:trPr>
          <w:trHeight w:val="288"/>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b/>
                <w:bCs/>
                <w:color w:val="000000"/>
                <w:sz w:val="24"/>
                <w:szCs w:val="24"/>
                <w:lang w:val="en-GB" w:eastAsia="en-GB"/>
              </w:rPr>
            </w:pPr>
            <w:r w:rsidRPr="00FF0F92">
              <w:rPr>
                <w:rFonts w:ascii="Times New Roman" w:eastAsia="Times New Roman" w:hAnsi="Times New Roman" w:cs="Times New Roman"/>
                <w:b/>
                <w:bCs/>
                <w:color w:val="000000"/>
                <w:sz w:val="24"/>
                <w:szCs w:val="24"/>
                <w:lang w:val="en-GB" w:eastAsia="en-GB"/>
              </w:rPr>
              <w:t>Index Listing</w:t>
            </w:r>
          </w:p>
        </w:tc>
        <w:tc>
          <w:tcPr>
            <w:tcW w:w="3100" w:type="dxa"/>
            <w:tcBorders>
              <w:top w:val="single" w:sz="4" w:space="0" w:color="auto"/>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b/>
                <w:bCs/>
                <w:color w:val="000000"/>
                <w:sz w:val="24"/>
                <w:szCs w:val="24"/>
                <w:lang w:val="en-GB" w:eastAsia="en-GB"/>
              </w:rPr>
            </w:pPr>
            <w:r w:rsidRPr="00FF0F92">
              <w:rPr>
                <w:rFonts w:ascii="Times New Roman" w:eastAsia="Times New Roman" w:hAnsi="Times New Roman" w:cs="Times New Roman"/>
                <w:b/>
                <w:bCs/>
                <w:color w:val="000000"/>
                <w:sz w:val="24"/>
                <w:szCs w:val="24"/>
                <w:lang w:val="en-GB" w:eastAsia="en-GB"/>
              </w:rPr>
              <w:t>No. of Companies</w:t>
            </w:r>
          </w:p>
        </w:tc>
      </w:tr>
      <w:tr w:rsidR="00FF0F92" w:rsidRPr="00FF0F92" w:rsidTr="005A3246">
        <w:trPr>
          <w:trHeight w:val="288"/>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11 periods</w:t>
            </w:r>
          </w:p>
        </w:tc>
        <w:tc>
          <w:tcPr>
            <w:tcW w:w="3100"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65</w:t>
            </w:r>
          </w:p>
        </w:tc>
      </w:tr>
      <w:tr w:rsidR="00FF0F92" w:rsidRPr="00FF0F92" w:rsidTr="005A3246">
        <w:trPr>
          <w:trHeight w:val="288"/>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 xml:space="preserve">10 periods </w:t>
            </w:r>
          </w:p>
        </w:tc>
        <w:tc>
          <w:tcPr>
            <w:tcW w:w="3100"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6</w:t>
            </w:r>
          </w:p>
        </w:tc>
      </w:tr>
      <w:tr w:rsidR="00FF0F92" w:rsidRPr="00FF0F92" w:rsidTr="005A3246">
        <w:trPr>
          <w:trHeight w:val="288"/>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&lt; 10 periods</w:t>
            </w:r>
          </w:p>
        </w:tc>
        <w:tc>
          <w:tcPr>
            <w:tcW w:w="3100"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17</w:t>
            </w:r>
          </w:p>
        </w:tc>
      </w:tr>
      <w:tr w:rsidR="00FF0F92" w:rsidRPr="00FF0F92" w:rsidTr="005A3246">
        <w:trPr>
          <w:trHeight w:val="288"/>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Total</w:t>
            </w:r>
          </w:p>
        </w:tc>
        <w:tc>
          <w:tcPr>
            <w:tcW w:w="3100"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90</w:t>
            </w:r>
          </w:p>
        </w:tc>
      </w:tr>
    </w:tbl>
    <w:p w:rsidR="00FF0F92" w:rsidRPr="00FF0F92" w:rsidRDefault="00FF0F92" w:rsidP="00FF0F92">
      <w:pPr>
        <w:jc w:val="both"/>
        <w:rPr>
          <w:rFonts w:ascii="Times New Roman" w:eastAsia="Calibri" w:hAnsi="Times New Roman" w:cs="Times New Roman"/>
          <w:sz w:val="24"/>
          <w:szCs w:val="24"/>
          <w:lang w:val="en-GB"/>
        </w:rPr>
      </w:pPr>
    </w:p>
    <w:p w:rsidR="00FF0F92" w:rsidRPr="00FF0F92" w:rsidRDefault="00FF0F92" w:rsidP="00FF0F92">
      <w:pPr>
        <w:spacing w:line="480" w:lineRule="auto"/>
        <w:jc w:val="both"/>
        <w:rPr>
          <w:rFonts w:ascii="Times New Roman" w:eastAsia="Calibri" w:hAnsi="Times New Roman" w:cs="Times New Roman"/>
          <w:sz w:val="24"/>
          <w:szCs w:val="24"/>
          <w:lang w:val="en-GB"/>
        </w:rPr>
      </w:pPr>
      <w:r w:rsidRPr="00FF0F92">
        <w:rPr>
          <w:rFonts w:ascii="Times New Roman" w:eastAsia="Calibri" w:hAnsi="Times New Roman" w:cs="Times New Roman"/>
          <w:sz w:val="24"/>
          <w:szCs w:val="24"/>
          <w:lang w:val="en-GB"/>
        </w:rPr>
        <w:t>Revali</w:t>
      </w:r>
      <w:r w:rsidR="00930EF7">
        <w:rPr>
          <w:rFonts w:ascii="Times New Roman" w:eastAsia="Calibri" w:hAnsi="Times New Roman" w:cs="Times New Roman"/>
          <w:sz w:val="24"/>
          <w:szCs w:val="24"/>
          <w:lang w:val="en-GB"/>
        </w:rPr>
        <w:t>dation of Index is done on half-</w:t>
      </w:r>
      <w:r w:rsidRPr="00FF0F92">
        <w:rPr>
          <w:rFonts w:ascii="Times New Roman" w:eastAsia="Calibri" w:hAnsi="Times New Roman" w:cs="Times New Roman"/>
          <w:sz w:val="24"/>
          <w:szCs w:val="24"/>
          <w:lang w:val="en-GB"/>
        </w:rPr>
        <w:t xml:space="preserve">yearly basis, which means that stocks are either added or removed from the index twice in a year. The above table highlights the number of companies along with their listing periods during the year 2013 till 2018.  Stock of 65 companies remain listed in all 11 periods, Stocks of 6 Companies remain listed for at least 10 periods, whereas the index listing period for the stocks of remaining 17 companies is less than 10 periods. </w:t>
      </w:r>
    </w:p>
    <w:p w:rsidR="00FF0F92" w:rsidRPr="00930EF7" w:rsidRDefault="00930EF7" w:rsidP="00FF0F92">
      <w:pPr>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Table 5</w:t>
      </w:r>
      <w:r w:rsidR="00FF0F92" w:rsidRPr="00930EF7">
        <w:rPr>
          <w:rFonts w:ascii="Times New Roman" w:eastAsia="Calibri" w:hAnsi="Times New Roman" w:cs="Times New Roman"/>
          <w:b/>
          <w:sz w:val="24"/>
          <w:szCs w:val="24"/>
          <w:lang w:val="en-GB"/>
        </w:rPr>
        <w:t>:</w:t>
      </w:r>
      <w:r w:rsidRPr="00930EF7">
        <w:rPr>
          <w:rFonts w:ascii="Times New Roman" w:eastAsia="Calibri" w:hAnsi="Times New Roman" w:cs="Times New Roman"/>
          <w:b/>
          <w:sz w:val="24"/>
          <w:szCs w:val="24"/>
          <w:lang w:val="en-GB"/>
        </w:rPr>
        <w:t xml:space="preserve"> Period wise Futures Listed Companies</w:t>
      </w:r>
    </w:p>
    <w:tbl>
      <w:tblPr>
        <w:tblW w:w="4390" w:type="dxa"/>
        <w:tblLook w:val="04A0"/>
      </w:tblPr>
      <w:tblGrid>
        <w:gridCol w:w="1838"/>
        <w:gridCol w:w="2552"/>
      </w:tblGrid>
      <w:tr w:rsidR="00FF0F92" w:rsidRPr="00FF0F92" w:rsidTr="005A3246">
        <w:trPr>
          <w:trHeight w:val="288"/>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b/>
                <w:bCs/>
                <w:color w:val="000000"/>
                <w:sz w:val="24"/>
                <w:szCs w:val="24"/>
                <w:lang w:val="en-GB" w:eastAsia="en-GB"/>
              </w:rPr>
            </w:pPr>
            <w:r w:rsidRPr="00FF0F92">
              <w:rPr>
                <w:rFonts w:ascii="Times New Roman" w:eastAsia="Times New Roman" w:hAnsi="Times New Roman" w:cs="Times New Roman"/>
                <w:b/>
                <w:bCs/>
                <w:color w:val="000000"/>
                <w:sz w:val="24"/>
                <w:szCs w:val="24"/>
                <w:lang w:val="en-GB" w:eastAsia="en-GB"/>
              </w:rPr>
              <w:t>Futures Listing</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b/>
                <w:bCs/>
                <w:color w:val="000000"/>
                <w:sz w:val="24"/>
                <w:szCs w:val="24"/>
                <w:lang w:val="en-GB" w:eastAsia="en-GB"/>
              </w:rPr>
            </w:pPr>
            <w:r w:rsidRPr="00FF0F92">
              <w:rPr>
                <w:rFonts w:ascii="Times New Roman" w:eastAsia="Times New Roman" w:hAnsi="Times New Roman" w:cs="Times New Roman"/>
                <w:b/>
                <w:bCs/>
                <w:color w:val="000000"/>
                <w:sz w:val="24"/>
                <w:szCs w:val="24"/>
                <w:lang w:val="en-GB" w:eastAsia="en-GB"/>
              </w:rPr>
              <w:t>No. of Companies</w:t>
            </w:r>
          </w:p>
        </w:tc>
      </w:tr>
      <w:tr w:rsidR="00FF0F92" w:rsidRPr="00FF0F92" w:rsidTr="005A3246">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11 periods</w:t>
            </w:r>
          </w:p>
        </w:tc>
        <w:tc>
          <w:tcPr>
            <w:tcW w:w="2552"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16</w:t>
            </w:r>
          </w:p>
        </w:tc>
      </w:tr>
      <w:tr w:rsidR="00FF0F92" w:rsidRPr="00FF0F92" w:rsidTr="005A3246">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 xml:space="preserve">10 periods </w:t>
            </w:r>
          </w:p>
        </w:tc>
        <w:tc>
          <w:tcPr>
            <w:tcW w:w="2552"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4</w:t>
            </w:r>
          </w:p>
        </w:tc>
      </w:tr>
      <w:tr w:rsidR="00FF0F92" w:rsidRPr="00FF0F92" w:rsidTr="005A3246">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5-9 periods</w:t>
            </w:r>
          </w:p>
        </w:tc>
        <w:tc>
          <w:tcPr>
            <w:tcW w:w="2552"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16</w:t>
            </w:r>
          </w:p>
        </w:tc>
      </w:tr>
      <w:tr w:rsidR="00FF0F92" w:rsidRPr="00FF0F92" w:rsidTr="005A3246">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&lt; 4 periods</w:t>
            </w:r>
          </w:p>
        </w:tc>
        <w:tc>
          <w:tcPr>
            <w:tcW w:w="2552"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10</w:t>
            </w:r>
          </w:p>
        </w:tc>
      </w:tr>
      <w:tr w:rsidR="00FF0F92" w:rsidRPr="00FF0F92" w:rsidTr="005A3246">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0 period</w:t>
            </w:r>
          </w:p>
        </w:tc>
        <w:tc>
          <w:tcPr>
            <w:tcW w:w="2552"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44</w:t>
            </w:r>
          </w:p>
        </w:tc>
      </w:tr>
      <w:tr w:rsidR="00FF0F92" w:rsidRPr="00FF0F92" w:rsidTr="005A3246">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Total</w:t>
            </w:r>
          </w:p>
        </w:tc>
        <w:tc>
          <w:tcPr>
            <w:tcW w:w="2552"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90</w:t>
            </w:r>
          </w:p>
        </w:tc>
      </w:tr>
    </w:tbl>
    <w:p w:rsidR="00FF0F92" w:rsidRPr="00FF0F92" w:rsidRDefault="00FF0F92" w:rsidP="00FF0F92">
      <w:pPr>
        <w:spacing w:line="480" w:lineRule="auto"/>
        <w:jc w:val="both"/>
        <w:rPr>
          <w:rFonts w:ascii="Times New Roman" w:eastAsia="Calibri" w:hAnsi="Times New Roman" w:cs="Times New Roman"/>
          <w:sz w:val="24"/>
          <w:szCs w:val="24"/>
          <w:lang w:val="en-GB"/>
        </w:rPr>
      </w:pPr>
    </w:p>
    <w:p w:rsidR="00FF0F92" w:rsidRPr="00FF0F92" w:rsidRDefault="00FF0F92" w:rsidP="00FF0F92">
      <w:pPr>
        <w:spacing w:line="480" w:lineRule="auto"/>
        <w:jc w:val="both"/>
        <w:rPr>
          <w:rFonts w:ascii="Times New Roman" w:eastAsia="Calibri" w:hAnsi="Times New Roman" w:cs="Times New Roman"/>
          <w:sz w:val="24"/>
          <w:szCs w:val="24"/>
          <w:lang w:val="en-GB"/>
        </w:rPr>
      </w:pPr>
      <w:r w:rsidRPr="00FF0F92">
        <w:rPr>
          <w:rFonts w:ascii="Times New Roman" w:eastAsia="Calibri" w:hAnsi="Times New Roman" w:cs="Times New Roman"/>
          <w:sz w:val="24"/>
          <w:szCs w:val="24"/>
          <w:lang w:val="en-GB"/>
        </w:rPr>
        <w:t xml:space="preserve">The above table highlights that among the total 90 listed companies on KSE 100 index only 46 companies have their futures listed in any number of periods. Out of these 46 companies only 16 had their futures listed in all 11 periods from 2013 till 2018, 4 were listed in 10 periods, another </w:t>
      </w:r>
      <w:r w:rsidRPr="00FF0F92">
        <w:rPr>
          <w:rFonts w:ascii="Times New Roman" w:eastAsia="Calibri" w:hAnsi="Times New Roman" w:cs="Times New Roman"/>
          <w:sz w:val="24"/>
          <w:szCs w:val="24"/>
          <w:lang w:val="en-GB"/>
        </w:rPr>
        <w:lastRenderedPageBreak/>
        <w:t>16 where only listed in 5 – 9 periods and 10 remain listed in less than 4 periods during the time frame under consideration.</w:t>
      </w:r>
    </w:p>
    <w:p w:rsidR="00FF0F92" w:rsidRPr="00CD7CA0" w:rsidRDefault="00E518A5" w:rsidP="00FF0F92">
      <w:pPr>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Table 6</w:t>
      </w:r>
      <w:r w:rsidR="00FF0F92" w:rsidRPr="00CD7CA0">
        <w:rPr>
          <w:rFonts w:ascii="Times New Roman" w:eastAsia="Calibri" w:hAnsi="Times New Roman" w:cs="Times New Roman"/>
          <w:b/>
          <w:sz w:val="24"/>
          <w:szCs w:val="24"/>
          <w:lang w:val="en-GB"/>
        </w:rPr>
        <w:t>:</w:t>
      </w:r>
      <w:r w:rsidR="00E948BB">
        <w:rPr>
          <w:rFonts w:ascii="Times New Roman" w:eastAsia="Calibri" w:hAnsi="Times New Roman" w:cs="Times New Roman"/>
          <w:b/>
          <w:sz w:val="24"/>
          <w:szCs w:val="24"/>
          <w:lang w:val="en-GB"/>
        </w:rPr>
        <w:t xml:space="preserve"> Average Monthly </w:t>
      </w:r>
      <w:r w:rsidR="00CD7CA0">
        <w:rPr>
          <w:rFonts w:ascii="Times New Roman" w:eastAsia="Calibri" w:hAnsi="Times New Roman" w:cs="Times New Roman"/>
          <w:b/>
          <w:sz w:val="24"/>
          <w:szCs w:val="24"/>
          <w:lang w:val="en-GB"/>
        </w:rPr>
        <w:t>Returns</w:t>
      </w:r>
      <w:r w:rsidR="00CD7CA0" w:rsidRPr="00CD7CA0">
        <w:rPr>
          <w:rFonts w:ascii="Times New Roman" w:eastAsia="Calibri" w:hAnsi="Times New Roman" w:cs="Times New Roman"/>
          <w:b/>
          <w:sz w:val="24"/>
          <w:szCs w:val="24"/>
          <w:lang w:val="en-GB"/>
        </w:rPr>
        <w:t xml:space="preserve"> of both Portfolios</w:t>
      </w:r>
    </w:p>
    <w:tbl>
      <w:tblPr>
        <w:tblW w:w="5380" w:type="dxa"/>
        <w:tblLook w:val="04A0"/>
      </w:tblPr>
      <w:tblGrid>
        <w:gridCol w:w="2280"/>
        <w:gridCol w:w="3100"/>
      </w:tblGrid>
      <w:tr w:rsidR="00FF0F92" w:rsidRPr="00FF0F92" w:rsidTr="005A3246">
        <w:trPr>
          <w:trHeight w:val="288"/>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rPr>
                <w:rFonts w:ascii="Times New Roman" w:eastAsia="Times New Roman" w:hAnsi="Times New Roman" w:cs="Times New Roman"/>
                <w:b/>
                <w:bCs/>
                <w:color w:val="000000"/>
                <w:sz w:val="24"/>
                <w:szCs w:val="24"/>
                <w:lang w:val="en-GB" w:eastAsia="en-GB"/>
              </w:rPr>
            </w:pPr>
            <w:r w:rsidRPr="00FF0F92">
              <w:rPr>
                <w:rFonts w:ascii="Times New Roman" w:eastAsia="Times New Roman" w:hAnsi="Times New Roman" w:cs="Times New Roman"/>
                <w:b/>
                <w:bCs/>
                <w:color w:val="000000"/>
                <w:sz w:val="24"/>
                <w:szCs w:val="24"/>
                <w:lang w:val="en-GB" w:eastAsia="en-GB"/>
              </w:rPr>
              <w:t>Portfolio</w:t>
            </w:r>
          </w:p>
        </w:tc>
        <w:tc>
          <w:tcPr>
            <w:tcW w:w="3100" w:type="dxa"/>
            <w:tcBorders>
              <w:top w:val="single" w:sz="4" w:space="0" w:color="auto"/>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center"/>
              <w:rPr>
                <w:rFonts w:ascii="Times New Roman" w:eastAsia="Times New Roman" w:hAnsi="Times New Roman" w:cs="Times New Roman"/>
                <w:b/>
                <w:bCs/>
                <w:color w:val="000000"/>
                <w:sz w:val="24"/>
                <w:szCs w:val="24"/>
                <w:lang w:val="en-GB" w:eastAsia="en-GB"/>
              </w:rPr>
            </w:pPr>
            <w:r w:rsidRPr="00FF0F92">
              <w:rPr>
                <w:rFonts w:ascii="Times New Roman" w:eastAsia="Times New Roman" w:hAnsi="Times New Roman" w:cs="Times New Roman"/>
                <w:b/>
                <w:bCs/>
                <w:color w:val="000000"/>
                <w:sz w:val="24"/>
                <w:szCs w:val="24"/>
                <w:lang w:val="en-GB" w:eastAsia="en-GB"/>
              </w:rPr>
              <w:t xml:space="preserve">Average </w:t>
            </w:r>
            <w:r w:rsidR="00E948BB">
              <w:rPr>
                <w:rFonts w:ascii="Times New Roman" w:eastAsia="Times New Roman" w:hAnsi="Times New Roman" w:cs="Times New Roman"/>
                <w:b/>
                <w:bCs/>
                <w:color w:val="000000"/>
                <w:sz w:val="24"/>
                <w:szCs w:val="24"/>
                <w:lang w:val="en-GB" w:eastAsia="en-GB"/>
              </w:rPr>
              <w:t xml:space="preserve">Monthly </w:t>
            </w:r>
            <w:r w:rsidRPr="00FF0F92">
              <w:rPr>
                <w:rFonts w:ascii="Times New Roman" w:eastAsia="Times New Roman" w:hAnsi="Times New Roman" w:cs="Times New Roman"/>
                <w:b/>
                <w:bCs/>
                <w:color w:val="000000"/>
                <w:sz w:val="24"/>
                <w:szCs w:val="24"/>
                <w:lang w:val="en-GB" w:eastAsia="en-GB"/>
              </w:rPr>
              <w:t>Returns</w:t>
            </w:r>
          </w:p>
        </w:tc>
      </w:tr>
      <w:tr w:rsidR="00FF0F92" w:rsidRPr="00FF0F92" w:rsidTr="005A3246">
        <w:trPr>
          <w:trHeight w:val="288"/>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Portfolio_NFL</w:t>
            </w:r>
          </w:p>
        </w:tc>
        <w:tc>
          <w:tcPr>
            <w:tcW w:w="3100"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center"/>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2.323994</w:t>
            </w:r>
          </w:p>
        </w:tc>
      </w:tr>
      <w:tr w:rsidR="00FF0F92" w:rsidRPr="00FF0F92" w:rsidTr="005A3246">
        <w:trPr>
          <w:trHeight w:val="288"/>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Portfolio_FL</w:t>
            </w:r>
          </w:p>
        </w:tc>
        <w:tc>
          <w:tcPr>
            <w:tcW w:w="3100"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center"/>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1.656908</w:t>
            </w:r>
          </w:p>
        </w:tc>
      </w:tr>
      <w:tr w:rsidR="00FF0F92" w:rsidRPr="00FF0F92" w:rsidTr="005A3246">
        <w:trPr>
          <w:trHeight w:val="288"/>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All</w:t>
            </w:r>
          </w:p>
        </w:tc>
        <w:tc>
          <w:tcPr>
            <w:tcW w:w="3100"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center"/>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1.983039</w:t>
            </w:r>
          </w:p>
        </w:tc>
      </w:tr>
    </w:tbl>
    <w:p w:rsidR="00672B32" w:rsidRPr="002E4081" w:rsidRDefault="00672B32" w:rsidP="00672B32">
      <w:pPr>
        <w:spacing w:after="0"/>
        <w:rPr>
          <w:rFonts w:ascii="Times New Roman" w:hAnsi="Times New Roman" w:cs="Times New Roman"/>
          <w:sz w:val="18"/>
          <w:szCs w:val="24"/>
        </w:rPr>
      </w:pPr>
      <w:r w:rsidRPr="002E4081">
        <w:rPr>
          <w:rFonts w:ascii="Times New Roman" w:hAnsi="Times New Roman" w:cs="Times New Roman"/>
          <w:sz w:val="18"/>
          <w:szCs w:val="24"/>
        </w:rPr>
        <w:t>Portfolio_FL=Stocks with Futures listed on them</w:t>
      </w:r>
    </w:p>
    <w:p w:rsidR="00672B32" w:rsidRPr="002E4081" w:rsidRDefault="00672B32" w:rsidP="00672B32">
      <w:pPr>
        <w:spacing w:after="0"/>
        <w:rPr>
          <w:rFonts w:ascii="Times New Roman" w:hAnsi="Times New Roman" w:cs="Times New Roman"/>
          <w:sz w:val="18"/>
          <w:szCs w:val="24"/>
        </w:rPr>
      </w:pPr>
      <w:r w:rsidRPr="002E4081">
        <w:rPr>
          <w:rFonts w:ascii="Times New Roman" w:hAnsi="Times New Roman" w:cs="Times New Roman"/>
          <w:sz w:val="18"/>
          <w:szCs w:val="24"/>
        </w:rPr>
        <w:t>Portfolio_NFL= Stocks with no futures listed on them</w:t>
      </w:r>
    </w:p>
    <w:p w:rsidR="00FF0F92" w:rsidRPr="00FF0F92" w:rsidRDefault="00FF0F92" w:rsidP="00FF0F92">
      <w:pPr>
        <w:rPr>
          <w:rFonts w:ascii="Times New Roman" w:eastAsia="Calibri" w:hAnsi="Times New Roman" w:cs="Times New Roman"/>
          <w:sz w:val="24"/>
          <w:szCs w:val="24"/>
          <w:lang w:val="en-GB"/>
        </w:rPr>
      </w:pPr>
    </w:p>
    <w:p w:rsidR="00FF0F92" w:rsidRDefault="00FF0F92" w:rsidP="00FF0F92">
      <w:pPr>
        <w:spacing w:line="480" w:lineRule="auto"/>
        <w:jc w:val="both"/>
        <w:rPr>
          <w:rFonts w:ascii="Times New Roman" w:eastAsia="Calibri" w:hAnsi="Times New Roman" w:cs="Times New Roman"/>
          <w:sz w:val="24"/>
          <w:szCs w:val="24"/>
          <w:lang w:val="en-GB"/>
        </w:rPr>
      </w:pPr>
      <w:r w:rsidRPr="00FF0F92">
        <w:rPr>
          <w:rFonts w:ascii="Times New Roman" w:eastAsia="Calibri" w:hAnsi="Times New Roman" w:cs="Times New Roman"/>
          <w:sz w:val="24"/>
          <w:szCs w:val="24"/>
          <w:lang w:val="en-GB"/>
        </w:rPr>
        <w:t xml:space="preserve">The above table highlights the average </w:t>
      </w:r>
      <w:r w:rsidR="000130F1">
        <w:rPr>
          <w:rFonts w:ascii="Times New Roman" w:eastAsia="Calibri" w:hAnsi="Times New Roman" w:cs="Times New Roman"/>
          <w:sz w:val="24"/>
          <w:szCs w:val="24"/>
          <w:lang w:val="en-GB"/>
        </w:rPr>
        <w:t xml:space="preserve">monthly </w:t>
      </w:r>
      <w:r w:rsidRPr="00FF0F92">
        <w:rPr>
          <w:rFonts w:ascii="Times New Roman" w:eastAsia="Calibri" w:hAnsi="Times New Roman" w:cs="Times New Roman"/>
          <w:sz w:val="24"/>
          <w:szCs w:val="24"/>
          <w:lang w:val="en-GB"/>
        </w:rPr>
        <w:t>return on</w:t>
      </w:r>
      <w:r w:rsidR="000130F1">
        <w:rPr>
          <w:rFonts w:ascii="Times New Roman" w:eastAsia="Calibri" w:hAnsi="Times New Roman" w:cs="Times New Roman"/>
          <w:sz w:val="24"/>
          <w:szCs w:val="24"/>
          <w:lang w:val="en-GB"/>
        </w:rPr>
        <w:t xml:space="preserve">both </w:t>
      </w:r>
      <w:r w:rsidR="0067681D">
        <w:rPr>
          <w:rFonts w:ascii="Times New Roman" w:eastAsia="Calibri" w:hAnsi="Times New Roman" w:cs="Times New Roman"/>
          <w:sz w:val="24"/>
          <w:szCs w:val="24"/>
          <w:lang w:val="en-GB"/>
        </w:rPr>
        <w:t>portfolio, I</w:t>
      </w:r>
      <w:r w:rsidRPr="00FF0F92">
        <w:rPr>
          <w:rFonts w:ascii="Times New Roman" w:eastAsia="Calibri" w:hAnsi="Times New Roman" w:cs="Times New Roman"/>
          <w:sz w:val="24"/>
          <w:szCs w:val="24"/>
          <w:lang w:val="en-GB"/>
        </w:rPr>
        <w:t>t shows that the portfolio of stocks with zero future listing h</w:t>
      </w:r>
      <w:r w:rsidR="0067681D">
        <w:rPr>
          <w:rFonts w:ascii="Times New Roman" w:eastAsia="Calibri" w:hAnsi="Times New Roman" w:cs="Times New Roman"/>
          <w:sz w:val="24"/>
          <w:szCs w:val="24"/>
          <w:lang w:val="en-GB"/>
        </w:rPr>
        <w:t>ave reasonably higher return tha</w:t>
      </w:r>
      <w:r w:rsidRPr="00FF0F92">
        <w:rPr>
          <w:rFonts w:ascii="Times New Roman" w:eastAsia="Calibri" w:hAnsi="Times New Roman" w:cs="Times New Roman"/>
          <w:sz w:val="24"/>
          <w:szCs w:val="24"/>
          <w:lang w:val="en-GB"/>
        </w:rPr>
        <w:t xml:space="preserve">n the portfolio </w:t>
      </w:r>
      <w:r w:rsidR="0067681D">
        <w:rPr>
          <w:rFonts w:ascii="Times New Roman" w:eastAsia="Calibri" w:hAnsi="Times New Roman" w:cs="Times New Roman"/>
          <w:sz w:val="24"/>
          <w:szCs w:val="24"/>
          <w:lang w:val="en-GB"/>
        </w:rPr>
        <w:t>of stocks with future listings. I</w:t>
      </w:r>
      <w:r w:rsidRPr="00FF0F92">
        <w:rPr>
          <w:rFonts w:ascii="Times New Roman" w:eastAsia="Calibri" w:hAnsi="Times New Roman" w:cs="Times New Roman"/>
          <w:sz w:val="24"/>
          <w:szCs w:val="24"/>
          <w:lang w:val="en-GB"/>
        </w:rPr>
        <w:t>f we analyse the above</w:t>
      </w:r>
      <w:r w:rsidR="00D85177">
        <w:rPr>
          <w:rFonts w:ascii="Times New Roman" w:eastAsia="Calibri" w:hAnsi="Times New Roman" w:cs="Times New Roman"/>
          <w:sz w:val="24"/>
          <w:szCs w:val="24"/>
          <w:lang w:val="en-GB"/>
        </w:rPr>
        <w:t xml:space="preserve"> table with reference to table 7</w:t>
      </w:r>
      <w:r w:rsidRPr="00FF0F92">
        <w:rPr>
          <w:rFonts w:ascii="Times New Roman" w:eastAsia="Calibri" w:hAnsi="Times New Roman" w:cs="Times New Roman"/>
          <w:sz w:val="24"/>
          <w:szCs w:val="24"/>
          <w:lang w:val="en-GB"/>
        </w:rPr>
        <w:t>, we can conclude that the portfolio of Stock with future listings gives a lower return against the decreased risk due to the presence of Futures listings.</w:t>
      </w:r>
    </w:p>
    <w:p w:rsidR="00E518A5" w:rsidRPr="00CD7CA0" w:rsidRDefault="00E518A5" w:rsidP="00E518A5">
      <w:pPr>
        <w:jc w:val="both"/>
        <w:rPr>
          <w:rFonts w:ascii="Times New Roman" w:eastAsia="Calibri" w:hAnsi="Times New Roman" w:cs="Times New Roman"/>
          <w:b/>
          <w:sz w:val="24"/>
          <w:szCs w:val="24"/>
          <w:lang w:val="en-GB"/>
        </w:rPr>
      </w:pPr>
      <w:r w:rsidRPr="00CD7CA0">
        <w:rPr>
          <w:rFonts w:ascii="Times New Roman" w:eastAsia="Calibri" w:hAnsi="Times New Roman" w:cs="Times New Roman"/>
          <w:b/>
          <w:sz w:val="24"/>
          <w:szCs w:val="24"/>
          <w:lang w:val="en-GB"/>
        </w:rPr>
        <w:t>T</w:t>
      </w:r>
      <w:r>
        <w:rPr>
          <w:rFonts w:ascii="Times New Roman" w:eastAsia="Calibri" w:hAnsi="Times New Roman" w:cs="Times New Roman"/>
          <w:b/>
          <w:sz w:val="24"/>
          <w:szCs w:val="24"/>
          <w:lang w:val="en-GB"/>
        </w:rPr>
        <w:t>able 7</w:t>
      </w:r>
      <w:r w:rsidRPr="00CD7CA0">
        <w:rPr>
          <w:rFonts w:ascii="Times New Roman" w:eastAsia="Calibri" w:hAnsi="Times New Roman" w:cs="Times New Roman"/>
          <w:b/>
          <w:sz w:val="24"/>
          <w:szCs w:val="24"/>
          <w:lang w:val="en-GB"/>
        </w:rPr>
        <w:t>: Average Standard Deviation of both Portfolios</w:t>
      </w:r>
    </w:p>
    <w:tbl>
      <w:tblPr>
        <w:tblW w:w="5807" w:type="dxa"/>
        <w:tblLook w:val="04A0"/>
      </w:tblPr>
      <w:tblGrid>
        <w:gridCol w:w="2280"/>
        <w:gridCol w:w="3527"/>
      </w:tblGrid>
      <w:tr w:rsidR="00E518A5" w:rsidRPr="00FF0F92" w:rsidTr="00D332AA">
        <w:trPr>
          <w:trHeight w:val="288"/>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18A5" w:rsidRPr="00FF0F92" w:rsidRDefault="00E518A5" w:rsidP="00D332AA">
            <w:pPr>
              <w:spacing w:after="0" w:line="240" w:lineRule="auto"/>
              <w:jc w:val="both"/>
              <w:rPr>
                <w:rFonts w:ascii="Times New Roman" w:eastAsia="Times New Roman" w:hAnsi="Times New Roman" w:cs="Times New Roman"/>
                <w:b/>
                <w:bCs/>
                <w:color w:val="000000"/>
                <w:sz w:val="24"/>
                <w:szCs w:val="24"/>
                <w:lang w:val="en-GB" w:eastAsia="en-GB"/>
              </w:rPr>
            </w:pPr>
            <w:r w:rsidRPr="00FF0F92">
              <w:rPr>
                <w:rFonts w:ascii="Times New Roman" w:eastAsia="Times New Roman" w:hAnsi="Times New Roman" w:cs="Times New Roman"/>
                <w:b/>
                <w:bCs/>
                <w:color w:val="000000"/>
                <w:sz w:val="24"/>
                <w:szCs w:val="24"/>
                <w:lang w:val="en-GB" w:eastAsia="en-GB"/>
              </w:rPr>
              <w:t>Portfolio</w:t>
            </w:r>
          </w:p>
        </w:tc>
        <w:tc>
          <w:tcPr>
            <w:tcW w:w="3527" w:type="dxa"/>
            <w:tcBorders>
              <w:top w:val="single" w:sz="4" w:space="0" w:color="auto"/>
              <w:left w:val="nil"/>
              <w:bottom w:val="single" w:sz="4" w:space="0" w:color="auto"/>
              <w:right w:val="single" w:sz="4" w:space="0" w:color="auto"/>
            </w:tcBorders>
            <w:shd w:val="clear" w:color="auto" w:fill="auto"/>
            <w:noWrap/>
            <w:vAlign w:val="bottom"/>
            <w:hideMark/>
          </w:tcPr>
          <w:p w:rsidR="00E518A5" w:rsidRPr="00FF0F92" w:rsidRDefault="00E518A5" w:rsidP="00D332AA">
            <w:pPr>
              <w:spacing w:after="0" w:line="240" w:lineRule="auto"/>
              <w:jc w:val="both"/>
              <w:rPr>
                <w:rFonts w:ascii="Times New Roman" w:eastAsia="Times New Roman" w:hAnsi="Times New Roman" w:cs="Times New Roman"/>
                <w:b/>
                <w:bCs/>
                <w:color w:val="000000"/>
                <w:sz w:val="24"/>
                <w:szCs w:val="24"/>
                <w:lang w:val="en-GB" w:eastAsia="en-GB"/>
              </w:rPr>
            </w:pPr>
            <w:r w:rsidRPr="00FF0F92">
              <w:rPr>
                <w:rFonts w:ascii="Times New Roman" w:eastAsia="Times New Roman" w:hAnsi="Times New Roman" w:cs="Times New Roman"/>
                <w:b/>
                <w:bCs/>
                <w:color w:val="000000"/>
                <w:sz w:val="24"/>
                <w:szCs w:val="24"/>
                <w:lang w:val="en-GB" w:eastAsia="en-GB"/>
              </w:rPr>
              <w:t>Average Standard Deviation</w:t>
            </w:r>
          </w:p>
        </w:tc>
      </w:tr>
      <w:tr w:rsidR="00E518A5" w:rsidRPr="00FF0F92" w:rsidTr="00D332AA">
        <w:trPr>
          <w:trHeight w:val="288"/>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E518A5" w:rsidRPr="00FF0F92" w:rsidRDefault="00E518A5" w:rsidP="00D332AA">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Portfolio_NFL</w:t>
            </w:r>
          </w:p>
        </w:tc>
        <w:tc>
          <w:tcPr>
            <w:tcW w:w="3527" w:type="dxa"/>
            <w:tcBorders>
              <w:top w:val="nil"/>
              <w:left w:val="nil"/>
              <w:bottom w:val="single" w:sz="4" w:space="0" w:color="auto"/>
              <w:right w:val="single" w:sz="4" w:space="0" w:color="auto"/>
            </w:tcBorders>
            <w:shd w:val="clear" w:color="auto" w:fill="auto"/>
            <w:noWrap/>
            <w:vAlign w:val="bottom"/>
            <w:hideMark/>
          </w:tcPr>
          <w:p w:rsidR="00E518A5" w:rsidRPr="00FF0F92" w:rsidRDefault="00E518A5" w:rsidP="00D332AA">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11.78343</w:t>
            </w:r>
          </w:p>
        </w:tc>
      </w:tr>
      <w:tr w:rsidR="00E518A5" w:rsidRPr="00FF0F92" w:rsidTr="00D332AA">
        <w:trPr>
          <w:trHeight w:val="288"/>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E518A5" w:rsidRPr="00FF0F92" w:rsidRDefault="00E518A5" w:rsidP="00D332AA">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Portfolio_FL</w:t>
            </w:r>
          </w:p>
        </w:tc>
        <w:tc>
          <w:tcPr>
            <w:tcW w:w="3527" w:type="dxa"/>
            <w:tcBorders>
              <w:top w:val="nil"/>
              <w:left w:val="nil"/>
              <w:bottom w:val="single" w:sz="4" w:space="0" w:color="auto"/>
              <w:right w:val="single" w:sz="4" w:space="0" w:color="auto"/>
            </w:tcBorders>
            <w:shd w:val="clear" w:color="auto" w:fill="auto"/>
            <w:noWrap/>
            <w:vAlign w:val="bottom"/>
            <w:hideMark/>
          </w:tcPr>
          <w:p w:rsidR="00E518A5" w:rsidRPr="00FF0F92" w:rsidRDefault="00E518A5" w:rsidP="00D332AA">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10.12003</w:t>
            </w:r>
          </w:p>
        </w:tc>
      </w:tr>
      <w:tr w:rsidR="00E518A5" w:rsidRPr="00FF0F92" w:rsidTr="00D332AA">
        <w:trPr>
          <w:trHeight w:val="288"/>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E518A5" w:rsidRPr="00FF0F92" w:rsidRDefault="00E518A5" w:rsidP="00D332AA">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All</w:t>
            </w:r>
          </w:p>
        </w:tc>
        <w:tc>
          <w:tcPr>
            <w:tcW w:w="3527" w:type="dxa"/>
            <w:tcBorders>
              <w:top w:val="nil"/>
              <w:left w:val="nil"/>
              <w:bottom w:val="single" w:sz="4" w:space="0" w:color="auto"/>
              <w:right w:val="single" w:sz="4" w:space="0" w:color="auto"/>
            </w:tcBorders>
            <w:shd w:val="clear" w:color="auto" w:fill="auto"/>
            <w:noWrap/>
            <w:vAlign w:val="bottom"/>
            <w:hideMark/>
          </w:tcPr>
          <w:p w:rsidR="00E518A5" w:rsidRPr="00FF0F92" w:rsidRDefault="00E518A5" w:rsidP="00D332AA">
            <w:pPr>
              <w:spacing w:after="0" w:line="240" w:lineRule="auto"/>
              <w:jc w:val="both"/>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10.93325</w:t>
            </w:r>
          </w:p>
        </w:tc>
      </w:tr>
    </w:tbl>
    <w:p w:rsidR="002E4081" w:rsidRPr="002E4081" w:rsidRDefault="002E4081" w:rsidP="002E4081">
      <w:pPr>
        <w:spacing w:after="0"/>
        <w:rPr>
          <w:rFonts w:ascii="Times New Roman" w:hAnsi="Times New Roman" w:cs="Times New Roman"/>
          <w:sz w:val="18"/>
          <w:szCs w:val="24"/>
        </w:rPr>
      </w:pPr>
      <w:r w:rsidRPr="002E4081">
        <w:rPr>
          <w:rFonts w:ascii="Times New Roman" w:hAnsi="Times New Roman" w:cs="Times New Roman"/>
          <w:sz w:val="18"/>
          <w:szCs w:val="24"/>
        </w:rPr>
        <w:t>Portfolio_FL=Stocks with Futures listed on them</w:t>
      </w:r>
    </w:p>
    <w:p w:rsidR="002E4081" w:rsidRPr="002E4081" w:rsidRDefault="002E4081" w:rsidP="002E4081">
      <w:pPr>
        <w:spacing w:after="0"/>
        <w:rPr>
          <w:rFonts w:ascii="Times New Roman" w:hAnsi="Times New Roman" w:cs="Times New Roman"/>
          <w:sz w:val="18"/>
          <w:szCs w:val="24"/>
        </w:rPr>
      </w:pPr>
      <w:r w:rsidRPr="002E4081">
        <w:rPr>
          <w:rFonts w:ascii="Times New Roman" w:hAnsi="Times New Roman" w:cs="Times New Roman"/>
          <w:sz w:val="18"/>
          <w:szCs w:val="24"/>
        </w:rPr>
        <w:t>Portfolio_NFL= Stocks with no futures listed on them</w:t>
      </w:r>
    </w:p>
    <w:p w:rsidR="00E518A5" w:rsidRPr="00FF0F92" w:rsidRDefault="00E518A5" w:rsidP="00E518A5">
      <w:pPr>
        <w:jc w:val="both"/>
        <w:rPr>
          <w:rFonts w:ascii="Times New Roman" w:eastAsia="Calibri" w:hAnsi="Times New Roman" w:cs="Times New Roman"/>
          <w:sz w:val="24"/>
          <w:szCs w:val="24"/>
          <w:lang w:val="en-GB"/>
        </w:rPr>
      </w:pPr>
    </w:p>
    <w:p w:rsidR="006F7BD9" w:rsidRPr="00FF0F92" w:rsidRDefault="00E518A5" w:rsidP="00FF0F92">
      <w:pPr>
        <w:spacing w:line="480" w:lineRule="auto"/>
        <w:jc w:val="both"/>
        <w:rPr>
          <w:rFonts w:ascii="Times New Roman" w:eastAsia="Calibri" w:hAnsi="Times New Roman" w:cs="Times New Roman"/>
          <w:sz w:val="24"/>
          <w:szCs w:val="24"/>
          <w:lang w:val="en-GB"/>
        </w:rPr>
      </w:pPr>
      <w:r w:rsidRPr="00FF0F92">
        <w:rPr>
          <w:rFonts w:ascii="Times New Roman" w:eastAsia="Calibri" w:hAnsi="Times New Roman" w:cs="Times New Roman"/>
          <w:sz w:val="24"/>
          <w:szCs w:val="24"/>
          <w:lang w:val="en-GB"/>
        </w:rPr>
        <w:t>Standard deviation represents the risk in a certain portfolio, the above table</w:t>
      </w:r>
      <w:r>
        <w:rPr>
          <w:rFonts w:ascii="Times New Roman" w:eastAsia="Calibri" w:hAnsi="Times New Roman" w:cs="Times New Roman"/>
          <w:sz w:val="24"/>
          <w:szCs w:val="24"/>
          <w:lang w:val="en-GB"/>
        </w:rPr>
        <w:t xml:space="preserve"> 6</w:t>
      </w:r>
      <w:r w:rsidRPr="00FF0F92">
        <w:rPr>
          <w:rFonts w:ascii="Times New Roman" w:eastAsia="Calibri" w:hAnsi="Times New Roman" w:cs="Times New Roman"/>
          <w:sz w:val="24"/>
          <w:szCs w:val="24"/>
          <w:lang w:val="en-GB"/>
        </w:rPr>
        <w:t xml:space="preserve"> shows that the Portfolio of Stocks which have their futures listed on PSX have low risk and are Less volatile investments compared to the portfolio of stoc</w:t>
      </w:r>
      <w:r w:rsidR="000B0701">
        <w:rPr>
          <w:rFonts w:ascii="Times New Roman" w:eastAsia="Calibri" w:hAnsi="Times New Roman" w:cs="Times New Roman"/>
          <w:sz w:val="24"/>
          <w:szCs w:val="24"/>
          <w:lang w:val="en-GB"/>
        </w:rPr>
        <w:t>ks which have no fut</w:t>
      </w:r>
      <w:r w:rsidR="00E62B10">
        <w:rPr>
          <w:rFonts w:ascii="Times New Roman" w:eastAsia="Calibri" w:hAnsi="Times New Roman" w:cs="Times New Roman"/>
          <w:sz w:val="24"/>
          <w:szCs w:val="24"/>
          <w:lang w:val="en-GB"/>
        </w:rPr>
        <w:t>ures listed.</w:t>
      </w:r>
    </w:p>
    <w:p w:rsidR="002E4081" w:rsidRDefault="002E4081" w:rsidP="00FF0F92">
      <w:pPr>
        <w:spacing w:line="480" w:lineRule="auto"/>
        <w:jc w:val="both"/>
        <w:rPr>
          <w:rFonts w:ascii="Times New Roman" w:eastAsia="Calibri" w:hAnsi="Times New Roman" w:cs="Times New Roman"/>
          <w:b/>
          <w:sz w:val="24"/>
          <w:szCs w:val="24"/>
          <w:lang w:val="en-GB"/>
        </w:rPr>
      </w:pPr>
    </w:p>
    <w:p w:rsidR="002E4081" w:rsidRDefault="002E4081" w:rsidP="00FF0F92">
      <w:pPr>
        <w:spacing w:line="480" w:lineRule="auto"/>
        <w:jc w:val="both"/>
        <w:rPr>
          <w:rFonts w:ascii="Times New Roman" w:eastAsia="Calibri" w:hAnsi="Times New Roman" w:cs="Times New Roman"/>
          <w:b/>
          <w:sz w:val="24"/>
          <w:szCs w:val="24"/>
          <w:lang w:val="en-GB"/>
        </w:rPr>
      </w:pPr>
    </w:p>
    <w:p w:rsidR="002E4081" w:rsidRDefault="002E4081" w:rsidP="00FF0F92">
      <w:pPr>
        <w:spacing w:line="480" w:lineRule="auto"/>
        <w:jc w:val="both"/>
        <w:rPr>
          <w:rFonts w:ascii="Times New Roman" w:eastAsia="Calibri" w:hAnsi="Times New Roman" w:cs="Times New Roman"/>
          <w:b/>
          <w:sz w:val="24"/>
          <w:szCs w:val="24"/>
          <w:lang w:val="en-GB"/>
        </w:rPr>
      </w:pPr>
    </w:p>
    <w:p w:rsidR="00FF0F92" w:rsidRPr="005E627C" w:rsidRDefault="005E627C" w:rsidP="00FF0F92">
      <w:pPr>
        <w:spacing w:line="480" w:lineRule="auto"/>
        <w:jc w:val="both"/>
        <w:rPr>
          <w:rFonts w:ascii="Times New Roman" w:eastAsia="Calibri" w:hAnsi="Times New Roman" w:cs="Times New Roman"/>
          <w:b/>
          <w:sz w:val="24"/>
          <w:szCs w:val="24"/>
          <w:lang w:val="en-GB"/>
        </w:rPr>
      </w:pPr>
      <w:r w:rsidRPr="007942DC">
        <w:rPr>
          <w:rFonts w:ascii="Times New Roman" w:eastAsia="Calibri" w:hAnsi="Times New Roman" w:cs="Times New Roman"/>
          <w:b/>
          <w:sz w:val="24"/>
          <w:szCs w:val="24"/>
          <w:lang w:val="en-GB"/>
        </w:rPr>
        <w:lastRenderedPageBreak/>
        <w:t>Table 8</w:t>
      </w:r>
      <w:r w:rsidR="00FF0F92" w:rsidRPr="007942DC">
        <w:rPr>
          <w:rFonts w:ascii="Times New Roman" w:eastAsia="Calibri" w:hAnsi="Times New Roman" w:cs="Times New Roman"/>
          <w:b/>
          <w:sz w:val="24"/>
          <w:szCs w:val="24"/>
          <w:lang w:val="en-GB"/>
        </w:rPr>
        <w:t>:</w:t>
      </w:r>
      <w:r w:rsidR="000B0701" w:rsidRPr="007942DC">
        <w:rPr>
          <w:rFonts w:ascii="Times New Roman" w:eastAsia="Calibri" w:hAnsi="Times New Roman" w:cs="Times New Roman"/>
          <w:b/>
          <w:sz w:val="24"/>
          <w:szCs w:val="24"/>
          <w:lang w:val="en-GB"/>
        </w:rPr>
        <w:t>Sharpe Ratio</w:t>
      </w:r>
      <w:r w:rsidRPr="007942DC">
        <w:rPr>
          <w:rFonts w:ascii="Times New Roman" w:eastAsia="Calibri" w:hAnsi="Times New Roman" w:cs="Times New Roman"/>
          <w:b/>
          <w:sz w:val="24"/>
          <w:szCs w:val="24"/>
          <w:lang w:val="en-GB"/>
        </w:rPr>
        <w:t xml:space="preserve"> of both Portfolios</w:t>
      </w:r>
    </w:p>
    <w:tbl>
      <w:tblPr>
        <w:tblW w:w="5380" w:type="dxa"/>
        <w:tblLook w:val="04A0"/>
      </w:tblPr>
      <w:tblGrid>
        <w:gridCol w:w="2280"/>
        <w:gridCol w:w="3100"/>
      </w:tblGrid>
      <w:tr w:rsidR="00FF0F92" w:rsidRPr="00FF0F92" w:rsidTr="005A3246">
        <w:trPr>
          <w:trHeight w:val="288"/>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rPr>
                <w:rFonts w:ascii="Times New Roman" w:eastAsia="Times New Roman" w:hAnsi="Times New Roman" w:cs="Times New Roman"/>
                <w:b/>
                <w:bCs/>
                <w:color w:val="000000"/>
                <w:sz w:val="24"/>
                <w:szCs w:val="24"/>
                <w:lang w:val="en-GB" w:eastAsia="en-GB"/>
              </w:rPr>
            </w:pPr>
            <w:r w:rsidRPr="00FF0F92">
              <w:rPr>
                <w:rFonts w:ascii="Times New Roman" w:eastAsia="Times New Roman" w:hAnsi="Times New Roman" w:cs="Times New Roman"/>
                <w:b/>
                <w:bCs/>
                <w:color w:val="000000"/>
                <w:sz w:val="24"/>
                <w:szCs w:val="24"/>
                <w:lang w:val="en-GB" w:eastAsia="en-GB"/>
              </w:rPr>
              <w:t>Portfolio</w:t>
            </w:r>
          </w:p>
        </w:tc>
        <w:tc>
          <w:tcPr>
            <w:tcW w:w="3100" w:type="dxa"/>
            <w:tcBorders>
              <w:top w:val="single" w:sz="4" w:space="0" w:color="auto"/>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center"/>
              <w:rPr>
                <w:rFonts w:ascii="Times New Roman" w:eastAsia="Times New Roman" w:hAnsi="Times New Roman" w:cs="Times New Roman"/>
                <w:b/>
                <w:bCs/>
                <w:color w:val="000000"/>
                <w:sz w:val="24"/>
                <w:szCs w:val="24"/>
                <w:lang w:val="en-GB" w:eastAsia="en-GB"/>
              </w:rPr>
            </w:pPr>
            <w:r w:rsidRPr="00FF0F92">
              <w:rPr>
                <w:rFonts w:ascii="Times New Roman" w:eastAsia="Times New Roman" w:hAnsi="Times New Roman" w:cs="Times New Roman"/>
                <w:b/>
                <w:bCs/>
                <w:color w:val="000000"/>
                <w:sz w:val="24"/>
                <w:szCs w:val="24"/>
                <w:lang w:val="en-GB" w:eastAsia="en-GB"/>
              </w:rPr>
              <w:t>Sharpe Ratio</w:t>
            </w:r>
          </w:p>
        </w:tc>
      </w:tr>
      <w:tr w:rsidR="00FF0F92" w:rsidRPr="00FF0F92" w:rsidTr="005A3246">
        <w:trPr>
          <w:trHeight w:val="288"/>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Portfolio_NFL</w:t>
            </w:r>
          </w:p>
        </w:tc>
        <w:tc>
          <w:tcPr>
            <w:tcW w:w="3100"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center"/>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0.13514</w:t>
            </w:r>
          </w:p>
        </w:tc>
      </w:tr>
      <w:tr w:rsidR="00FF0F92" w:rsidRPr="00FF0F92" w:rsidTr="005A3246">
        <w:trPr>
          <w:trHeight w:val="289"/>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Portfolio_FL</w:t>
            </w:r>
          </w:p>
        </w:tc>
        <w:tc>
          <w:tcPr>
            <w:tcW w:w="3100"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center"/>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0.0907</w:t>
            </w:r>
          </w:p>
        </w:tc>
      </w:tr>
      <w:tr w:rsidR="00FF0F92" w:rsidRPr="00FF0F92" w:rsidTr="005A3246">
        <w:trPr>
          <w:trHeight w:val="288"/>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All</w:t>
            </w:r>
          </w:p>
        </w:tc>
        <w:tc>
          <w:tcPr>
            <w:tcW w:w="3100" w:type="dxa"/>
            <w:tcBorders>
              <w:top w:val="nil"/>
              <w:left w:val="nil"/>
              <w:bottom w:val="single" w:sz="4" w:space="0" w:color="auto"/>
              <w:right w:val="single" w:sz="4" w:space="0" w:color="auto"/>
            </w:tcBorders>
            <w:shd w:val="clear" w:color="auto" w:fill="auto"/>
            <w:noWrap/>
            <w:vAlign w:val="bottom"/>
            <w:hideMark/>
          </w:tcPr>
          <w:p w:rsidR="00FF0F92" w:rsidRPr="00FF0F92" w:rsidRDefault="00FF0F92" w:rsidP="00FF0F92">
            <w:pPr>
              <w:spacing w:after="0" w:line="240" w:lineRule="auto"/>
              <w:jc w:val="center"/>
              <w:rPr>
                <w:rFonts w:ascii="Times New Roman" w:eastAsia="Times New Roman" w:hAnsi="Times New Roman" w:cs="Times New Roman"/>
                <w:color w:val="000000"/>
                <w:sz w:val="24"/>
                <w:szCs w:val="24"/>
                <w:lang w:val="en-GB" w:eastAsia="en-GB"/>
              </w:rPr>
            </w:pPr>
            <w:r w:rsidRPr="00FF0F92">
              <w:rPr>
                <w:rFonts w:ascii="Times New Roman" w:eastAsia="Times New Roman" w:hAnsi="Times New Roman" w:cs="Times New Roman"/>
                <w:color w:val="000000"/>
                <w:sz w:val="24"/>
                <w:szCs w:val="24"/>
                <w:lang w:val="en-GB" w:eastAsia="en-GB"/>
              </w:rPr>
              <w:t>0.112426</w:t>
            </w:r>
          </w:p>
        </w:tc>
      </w:tr>
    </w:tbl>
    <w:p w:rsidR="002E4081" w:rsidRPr="002E4081" w:rsidRDefault="002E4081" w:rsidP="002E4081">
      <w:pPr>
        <w:spacing w:after="0"/>
        <w:rPr>
          <w:rFonts w:ascii="Times New Roman" w:hAnsi="Times New Roman" w:cs="Times New Roman"/>
          <w:sz w:val="18"/>
          <w:szCs w:val="24"/>
        </w:rPr>
      </w:pPr>
      <w:r w:rsidRPr="002E4081">
        <w:rPr>
          <w:rFonts w:ascii="Times New Roman" w:hAnsi="Times New Roman" w:cs="Times New Roman"/>
          <w:sz w:val="18"/>
          <w:szCs w:val="24"/>
        </w:rPr>
        <w:t>Portfolio_FL=Stocks with Futures listed on them</w:t>
      </w:r>
    </w:p>
    <w:p w:rsidR="00FF0F92" w:rsidRDefault="002E4081" w:rsidP="002E4081">
      <w:pPr>
        <w:spacing w:after="0"/>
        <w:rPr>
          <w:rFonts w:ascii="Times New Roman" w:hAnsi="Times New Roman" w:cs="Times New Roman"/>
          <w:sz w:val="18"/>
          <w:szCs w:val="24"/>
        </w:rPr>
      </w:pPr>
      <w:r w:rsidRPr="002E4081">
        <w:rPr>
          <w:rFonts w:ascii="Times New Roman" w:hAnsi="Times New Roman" w:cs="Times New Roman"/>
          <w:sz w:val="18"/>
          <w:szCs w:val="24"/>
        </w:rPr>
        <w:t>Portfolio_NFL= Stocks</w:t>
      </w:r>
      <w:r>
        <w:rPr>
          <w:rFonts w:ascii="Times New Roman" w:hAnsi="Times New Roman" w:cs="Times New Roman"/>
          <w:sz w:val="18"/>
          <w:szCs w:val="24"/>
        </w:rPr>
        <w:t xml:space="preserve"> with no futures listed on them</w:t>
      </w:r>
    </w:p>
    <w:p w:rsidR="002E4081" w:rsidRPr="002E4081" w:rsidRDefault="002E4081" w:rsidP="002E4081">
      <w:pPr>
        <w:spacing w:after="0"/>
        <w:rPr>
          <w:rFonts w:ascii="Times New Roman" w:hAnsi="Times New Roman" w:cs="Times New Roman"/>
          <w:sz w:val="18"/>
          <w:szCs w:val="24"/>
        </w:rPr>
      </w:pPr>
    </w:p>
    <w:p w:rsidR="002D2C01" w:rsidRPr="00FF0F92" w:rsidRDefault="00FF0F92" w:rsidP="00FF0F92">
      <w:pPr>
        <w:spacing w:line="480" w:lineRule="auto"/>
        <w:jc w:val="both"/>
        <w:rPr>
          <w:rFonts w:ascii="Times New Roman" w:eastAsia="Calibri" w:hAnsi="Times New Roman" w:cs="Times New Roman"/>
          <w:color w:val="222222"/>
          <w:sz w:val="24"/>
          <w:szCs w:val="24"/>
          <w:lang w:val="en-GB"/>
        </w:rPr>
      </w:pPr>
      <w:r w:rsidRPr="00FF0F92">
        <w:rPr>
          <w:rFonts w:ascii="Times New Roman" w:eastAsia="Calibri" w:hAnsi="Times New Roman" w:cs="Times New Roman"/>
          <w:color w:val="222222"/>
          <w:sz w:val="24"/>
          <w:szCs w:val="24"/>
          <w:lang w:val="en-GB"/>
        </w:rPr>
        <w:t>Investors should consider risk adjusted returns while making comparison between two stocks, portfolios or securities to check if the compensation in returns is adequate compared to the additional risk taken.  The Sharpe ratio of 0.0907 against the Portfolio with futures listing is the lowest, which means that the future listing on hand decrease the volatility but at the same time have a negative impact on portfolio return as well.</w:t>
      </w:r>
    </w:p>
    <w:p w:rsidR="00C50F06" w:rsidRPr="005E627C" w:rsidRDefault="00C84B20" w:rsidP="005E627C">
      <w:pPr>
        <w:pStyle w:val="Heading3"/>
        <w:spacing w:after="240"/>
        <w:jc w:val="both"/>
        <w:rPr>
          <w:rFonts w:ascii="Times New Roman" w:hAnsi="Times New Roman" w:cs="Times New Roman"/>
          <w:b/>
          <w:color w:val="auto"/>
        </w:rPr>
      </w:pPr>
      <w:bookmarkStart w:id="15" w:name="_Toc519877297"/>
      <w:bookmarkStart w:id="16" w:name="_Toc520219900"/>
      <w:r>
        <w:rPr>
          <w:rFonts w:ascii="Times New Roman" w:hAnsi="Times New Roman" w:cs="Times New Roman"/>
          <w:b/>
          <w:color w:val="auto"/>
        </w:rPr>
        <w:t>4</w:t>
      </w:r>
      <w:r w:rsidR="005D7D6A" w:rsidRPr="005E627C">
        <w:rPr>
          <w:rFonts w:ascii="Times New Roman" w:hAnsi="Times New Roman" w:cs="Times New Roman"/>
          <w:b/>
          <w:color w:val="auto"/>
        </w:rPr>
        <w:t>.2 Empirical Results</w:t>
      </w:r>
      <w:bookmarkEnd w:id="15"/>
      <w:bookmarkEnd w:id="16"/>
    </w:p>
    <w:p w:rsidR="008F61E6" w:rsidRDefault="008F61E6" w:rsidP="008F61E6">
      <w:pPr>
        <w:spacing w:after="0" w:line="480" w:lineRule="auto"/>
        <w:jc w:val="both"/>
        <w:rPr>
          <w:rFonts w:ascii="Times New Roman" w:hAnsi="Times New Roman" w:cs="Times New Roman"/>
          <w:sz w:val="24"/>
          <w:szCs w:val="24"/>
        </w:rPr>
      </w:pPr>
      <w:r w:rsidRPr="00590B6C">
        <w:rPr>
          <w:rFonts w:ascii="Times New Roman" w:hAnsi="Times New Roman" w:cs="Times New Roman"/>
          <w:sz w:val="24"/>
          <w:szCs w:val="24"/>
        </w:rPr>
        <w:t>This</w:t>
      </w:r>
      <w:r>
        <w:rPr>
          <w:rFonts w:ascii="Times New Roman" w:hAnsi="Times New Roman" w:cs="Times New Roman"/>
          <w:sz w:val="24"/>
          <w:szCs w:val="24"/>
        </w:rPr>
        <w:t xml:space="preserve">part focuses on the empirical results of all the models proposed in this study. These results are based on CAPM and the factor model in which we have introduced proxies of size and value. </w:t>
      </w:r>
    </w:p>
    <w:p w:rsidR="008F61E6" w:rsidRDefault="008F61E6" w:rsidP="008F61E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For analysis, we have used Eviews7 software and the data was collected mainly from two sources; Pakistan Stock Exchange website and the annual reports of firms listed on Pakistan Stock Exchange (PSX).</w:t>
      </w:r>
    </w:p>
    <w:p w:rsidR="008F61E6" w:rsidRPr="008F61E6" w:rsidRDefault="008F61E6" w:rsidP="008F61E6">
      <w:pPr>
        <w:spacing w:after="0" w:line="480" w:lineRule="auto"/>
        <w:jc w:val="both"/>
        <w:rPr>
          <w:rFonts w:ascii="Times New Roman" w:hAnsi="Times New Roman" w:cs="Times New Roman"/>
          <w:sz w:val="24"/>
        </w:rPr>
      </w:pPr>
      <w:r>
        <w:rPr>
          <w:rFonts w:ascii="Times New Roman" w:hAnsi="Times New Roman" w:cs="Times New Roman"/>
          <w:sz w:val="24"/>
          <w:szCs w:val="24"/>
        </w:rPr>
        <w:t xml:space="preserve">Firstly, we converted daily closing price data into monthly returns. This variable provided us with the returns of each stock from January 2013 to May 2018. </w:t>
      </w:r>
      <w:r>
        <w:rPr>
          <w:rFonts w:ascii="Times New Roman" w:hAnsi="Times New Roman" w:cs="Times New Roman"/>
          <w:sz w:val="24"/>
        </w:rPr>
        <w:t>We have dynamically rebalanced portfolios after every six months, as the rebalancing of stocks and futures takes every six months by PSX. As a result, we have 11 periods in total from 2013-2018.</w:t>
      </w:r>
    </w:p>
    <w:p w:rsidR="008F61E6" w:rsidRPr="0040768D" w:rsidRDefault="00457677" w:rsidP="0040768D">
      <w:pPr>
        <w:pStyle w:val="Heading4"/>
        <w:spacing w:after="240"/>
        <w:jc w:val="both"/>
        <w:rPr>
          <w:rFonts w:ascii="Times New Roman" w:hAnsi="Times New Roman" w:cs="Times New Roman"/>
          <w:b/>
          <w:i w:val="0"/>
          <w:color w:val="auto"/>
          <w:sz w:val="24"/>
        </w:rPr>
      </w:pPr>
      <w:bookmarkStart w:id="17" w:name="_Toc520219901"/>
      <w:r>
        <w:rPr>
          <w:rFonts w:ascii="Times New Roman" w:hAnsi="Times New Roman" w:cs="Times New Roman"/>
          <w:b/>
          <w:i w:val="0"/>
          <w:color w:val="auto"/>
          <w:sz w:val="24"/>
        </w:rPr>
        <w:t>4</w:t>
      </w:r>
      <w:r w:rsidR="00D71029" w:rsidRPr="0040768D">
        <w:rPr>
          <w:rFonts w:ascii="Times New Roman" w:hAnsi="Times New Roman" w:cs="Times New Roman"/>
          <w:b/>
          <w:i w:val="0"/>
          <w:color w:val="auto"/>
          <w:sz w:val="24"/>
        </w:rPr>
        <w:t xml:space="preserve">.2.1 </w:t>
      </w:r>
      <w:r w:rsidR="008F61E6" w:rsidRPr="0040768D">
        <w:rPr>
          <w:rFonts w:ascii="Times New Roman" w:hAnsi="Times New Roman" w:cs="Times New Roman"/>
          <w:b/>
          <w:i w:val="0"/>
          <w:color w:val="auto"/>
          <w:sz w:val="24"/>
        </w:rPr>
        <w:t xml:space="preserve">CAPM: </w:t>
      </w:r>
      <w:r w:rsidR="00D71029" w:rsidRPr="0040768D">
        <w:rPr>
          <w:rFonts w:ascii="Times New Roman" w:hAnsi="Times New Roman" w:cs="Times New Roman"/>
          <w:b/>
          <w:i w:val="0"/>
          <w:color w:val="auto"/>
          <w:sz w:val="24"/>
        </w:rPr>
        <w:t>Alpha Returns and Systematic Risk</w:t>
      </w:r>
      <w:bookmarkEnd w:id="17"/>
    </w:p>
    <w:p w:rsidR="005849C0" w:rsidRDefault="005849C0" w:rsidP="007A338C">
      <w:pPr>
        <w:spacing w:after="0" w:line="480" w:lineRule="auto"/>
        <w:jc w:val="both"/>
        <w:rPr>
          <w:rFonts w:ascii="Times New Roman" w:hAnsi="Times New Roman" w:cs="Times New Roman"/>
          <w:sz w:val="24"/>
        </w:rPr>
      </w:pPr>
      <w:r>
        <w:rPr>
          <w:rFonts w:ascii="Times New Roman" w:hAnsi="Times New Roman" w:cs="Times New Roman"/>
          <w:sz w:val="24"/>
        </w:rPr>
        <w:t xml:space="preserve">We have evaluated the relative performance of both portfolios over the period of five years. One portfolio i.e. Portfolio A comprises of those stocks that have futures traded against them while </w:t>
      </w:r>
      <w:r>
        <w:rPr>
          <w:rFonts w:ascii="Times New Roman" w:hAnsi="Times New Roman" w:cs="Times New Roman"/>
          <w:sz w:val="24"/>
        </w:rPr>
        <w:lastRenderedPageBreak/>
        <w:t>the other portfolio; Portfolio B consists of those stocks that do not have futures available on them. We have utilized the following equation in order to assess the relative performance of the portfolios.</w:t>
      </w:r>
    </w:p>
    <w:p w:rsidR="005849C0" w:rsidRPr="006A48C8" w:rsidRDefault="008C0B72" w:rsidP="007A338C">
      <w:pPr>
        <w:spacing w:after="0" w:line="480" w:lineRule="auto"/>
        <w:jc w:val="center"/>
        <w:rPr>
          <w:rFonts w:ascii="Times New Roman" w:eastAsiaTheme="minorEastAsia" w:hAnsi="Times New Roman" w:cs="Times New Roman"/>
          <w:sz w:val="24"/>
        </w:rPr>
      </w:pPr>
      <m:oMathPara>
        <m:oMath>
          <m:sSub>
            <m:sSubPr>
              <m:ctrlPr>
                <w:rPr>
                  <w:rFonts w:ascii="Cambria Math" w:hAnsi="Cambria Math" w:cs="Times New Roman"/>
                  <w:i/>
                  <w:sz w:val="24"/>
                </w:rPr>
              </m:ctrlPr>
            </m:sSubPr>
            <m:e>
              <m:r>
                <w:rPr>
                  <w:rFonts w:ascii="Cambria Math" w:hAnsi="Cambria Math" w:cs="Times New Roman"/>
                  <w:sz w:val="24"/>
                </w:rPr>
                <m:t>ER</m:t>
              </m:r>
            </m:e>
            <m:sub>
              <m:r>
                <w:rPr>
                  <w:rFonts w:ascii="Cambria Math" w:hAnsi="Cambria Math" w:cs="Times New Roman"/>
                  <w:sz w:val="24"/>
                </w:rPr>
                <m:t>i,t</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PFR</m:t>
              </m:r>
            </m:e>
            <m:sub>
              <m:r>
                <w:rPr>
                  <w:rFonts w:ascii="Cambria Math" w:hAnsi="Cambria Math" w:cs="Times New Roman"/>
                  <w:sz w:val="24"/>
                </w:rPr>
                <m:t>i,t</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Rf</m:t>
              </m:r>
            </m:e>
            <m:sub>
              <m:r>
                <w:rPr>
                  <w:rFonts w:ascii="Cambria Math" w:hAnsi="Cambria Math" w:cs="Times New Roman"/>
                  <w:sz w:val="24"/>
                </w:rPr>
                <m:t>t</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α</m:t>
              </m:r>
            </m:e>
            <m:sub>
              <m:r>
                <w:rPr>
                  <w:rFonts w:ascii="Cambria Math" w:hAnsi="Cambria Math" w:cs="Times New Roman"/>
                  <w:sz w:val="24"/>
                </w:rPr>
                <m:t>i</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i</m:t>
              </m:r>
            </m:sub>
          </m:sSub>
          <m:d>
            <m:dPr>
              <m:ctrlPr>
                <w:rPr>
                  <w:rFonts w:ascii="Cambria Math" w:hAnsi="Cambria Math" w:cs="Times New Roman"/>
                  <w:i/>
                  <w:sz w:val="24"/>
                </w:rPr>
              </m:ctrlPr>
            </m:dPr>
            <m:e>
              <m:sSub>
                <m:sSubPr>
                  <m:ctrlPr>
                    <w:rPr>
                      <w:rFonts w:ascii="Cambria Math" w:hAnsi="Cambria Math" w:cs="Times New Roman"/>
                      <w:i/>
                      <w:sz w:val="24"/>
                    </w:rPr>
                  </m:ctrlPr>
                </m:sSubPr>
                <m:e>
                  <m:r>
                    <w:rPr>
                      <w:rFonts w:ascii="Cambria Math" w:hAnsi="Cambria Math" w:cs="Times New Roman"/>
                      <w:sz w:val="24"/>
                    </w:rPr>
                    <m:t>Rm</m:t>
                  </m:r>
                </m:e>
                <m:sub>
                  <m:r>
                    <w:rPr>
                      <w:rFonts w:ascii="Cambria Math" w:hAnsi="Cambria Math" w:cs="Times New Roman"/>
                      <w:sz w:val="24"/>
                    </w:rPr>
                    <m:t>t</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Rf</m:t>
                  </m:r>
                </m:e>
                <m:sub>
                  <m:r>
                    <w:rPr>
                      <w:rFonts w:ascii="Cambria Math" w:hAnsi="Cambria Math" w:cs="Times New Roman"/>
                      <w:sz w:val="24"/>
                    </w:rPr>
                    <m:t>t</m:t>
                  </m:r>
                </m:sub>
              </m:sSub>
            </m:e>
          </m:d>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ε</m:t>
              </m:r>
            </m:e>
            <m:sub>
              <m:r>
                <w:rPr>
                  <w:rFonts w:ascii="Cambria Math" w:hAnsi="Cambria Math" w:cs="Times New Roman"/>
                  <w:sz w:val="24"/>
                </w:rPr>
                <m:t>i,t</m:t>
              </m:r>
            </m:sub>
          </m:sSub>
        </m:oMath>
      </m:oMathPara>
    </w:p>
    <w:p w:rsidR="00C76A29" w:rsidRPr="0033194F" w:rsidRDefault="00C76A29" w:rsidP="00C76A29">
      <w:pPr>
        <w:spacing w:after="0" w:line="480" w:lineRule="auto"/>
        <w:rPr>
          <w:rFonts w:ascii="Times New Roman" w:hAnsi="Times New Roman" w:cs="Times New Roman"/>
          <w:sz w:val="24"/>
        </w:rPr>
      </w:pPr>
      <w:r w:rsidRPr="0033194F">
        <w:rPr>
          <w:rFonts w:ascii="Times New Roman" w:hAnsi="Times New Roman" w:cs="Times New Roman"/>
          <w:sz w:val="24"/>
        </w:rPr>
        <w:t>Here,</w:t>
      </w:r>
    </w:p>
    <w:p w:rsidR="00C76A29" w:rsidRPr="0033194F" w:rsidRDefault="00C76A29" w:rsidP="00C76A29">
      <w:pPr>
        <w:spacing w:after="0" w:line="480" w:lineRule="auto"/>
        <w:rPr>
          <w:rFonts w:ascii="Times New Roman" w:hAnsi="Times New Roman" w:cs="Times New Roman"/>
          <w:sz w:val="24"/>
        </w:rPr>
      </w:pPr>
      <w:r w:rsidRPr="0033194F">
        <w:rPr>
          <w:rFonts w:ascii="Times New Roman" w:hAnsi="Times New Roman" w:cs="Times New Roman"/>
          <w:sz w:val="24"/>
        </w:rPr>
        <w:t>α</w:t>
      </w:r>
      <w:r w:rsidRPr="0033194F">
        <w:rPr>
          <w:rFonts w:ascii="Times New Roman" w:hAnsi="Times New Roman" w:cs="Times New Roman"/>
          <w:sz w:val="24"/>
          <w:vertAlign w:val="subscript"/>
        </w:rPr>
        <w:t>i</w:t>
      </w:r>
      <w:r w:rsidRPr="0033194F">
        <w:rPr>
          <w:rFonts w:ascii="Times New Roman" w:hAnsi="Times New Roman" w:cs="Times New Roman"/>
          <w:sz w:val="24"/>
        </w:rPr>
        <w:t>=</w:t>
      </w:r>
      <w:r w:rsidR="004A1E01" w:rsidRPr="0033194F">
        <w:rPr>
          <w:rFonts w:ascii="Times New Roman" w:hAnsi="Times New Roman" w:cs="Times New Roman"/>
          <w:sz w:val="24"/>
        </w:rPr>
        <w:t>Excess return of a stock relative to the benchmark index</w:t>
      </w:r>
    </w:p>
    <w:p w:rsidR="00C76A29" w:rsidRPr="0033194F" w:rsidRDefault="00C76A29" w:rsidP="00C76A29">
      <w:pPr>
        <w:spacing w:after="0" w:line="480" w:lineRule="auto"/>
        <w:rPr>
          <w:rFonts w:ascii="Times New Roman" w:hAnsi="Times New Roman" w:cs="Times New Roman"/>
          <w:sz w:val="24"/>
        </w:rPr>
      </w:pPr>
      <w:r w:rsidRPr="0033194F">
        <w:rPr>
          <w:rFonts w:ascii="Times New Roman" w:hAnsi="Times New Roman" w:cs="Times New Roman"/>
          <w:sz w:val="24"/>
        </w:rPr>
        <w:t>β</w:t>
      </w:r>
      <w:r w:rsidRPr="0033194F">
        <w:rPr>
          <w:rFonts w:ascii="Times New Roman" w:hAnsi="Times New Roman" w:cs="Times New Roman"/>
          <w:sz w:val="28"/>
          <w:vertAlign w:val="subscript"/>
        </w:rPr>
        <w:t>i</w:t>
      </w:r>
      <w:r w:rsidRPr="0033194F">
        <w:rPr>
          <w:rFonts w:ascii="Times New Roman" w:hAnsi="Times New Roman" w:cs="Times New Roman"/>
          <w:sz w:val="28"/>
        </w:rPr>
        <w:t xml:space="preserve">= </w:t>
      </w:r>
      <w:r w:rsidR="00D71029" w:rsidRPr="0033194F">
        <w:rPr>
          <w:rFonts w:ascii="Times New Roman" w:hAnsi="Times New Roman" w:cs="Times New Roman"/>
          <w:sz w:val="24"/>
        </w:rPr>
        <w:t>Undiversifiable risk/market risk/</w:t>
      </w:r>
      <w:r w:rsidR="00570DAB" w:rsidRPr="0033194F">
        <w:rPr>
          <w:rFonts w:ascii="Times New Roman" w:hAnsi="Times New Roman" w:cs="Times New Roman"/>
          <w:sz w:val="24"/>
        </w:rPr>
        <w:t>Systematic</w:t>
      </w:r>
      <w:r w:rsidRPr="0033194F">
        <w:rPr>
          <w:rFonts w:ascii="Times New Roman" w:hAnsi="Times New Roman" w:cs="Times New Roman"/>
          <w:sz w:val="24"/>
        </w:rPr>
        <w:t xml:space="preserve"> risk</w:t>
      </w:r>
      <w:r w:rsidR="00570DAB" w:rsidRPr="0033194F">
        <w:rPr>
          <w:rFonts w:ascii="Times New Roman" w:hAnsi="Times New Roman" w:cs="Times New Roman"/>
          <w:sz w:val="24"/>
        </w:rPr>
        <w:t xml:space="preserve"> of a stock or a portfolio</w:t>
      </w:r>
    </w:p>
    <w:p w:rsidR="00C76A29" w:rsidRPr="00D71029" w:rsidRDefault="00C76A29" w:rsidP="00D71029">
      <w:pPr>
        <w:spacing w:after="0" w:line="480" w:lineRule="auto"/>
        <w:rPr>
          <w:rFonts w:ascii="Times New Roman" w:hAnsi="Times New Roman" w:cs="Times New Roman"/>
          <w:sz w:val="24"/>
        </w:rPr>
      </w:pPr>
      <w:r w:rsidRPr="0033194F">
        <w:rPr>
          <w:rFonts w:ascii="Times New Roman" w:hAnsi="Times New Roman" w:cs="Times New Roman"/>
          <w:sz w:val="24"/>
        </w:rPr>
        <w:t>Rf = Risk-free rate of return</w:t>
      </w:r>
    </w:p>
    <w:p w:rsidR="005849C0" w:rsidRDefault="005849C0" w:rsidP="007A338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order to estimate the relative performance of portfolios using CAPM, we generated the following variables in Eviews7:</w:t>
      </w:r>
    </w:p>
    <w:p w:rsidR="005849C0" w:rsidRPr="00475089" w:rsidRDefault="005849C0" w:rsidP="007A338C">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Excess Market Return (ERM)</w:t>
      </w:r>
    </w:p>
    <w:p w:rsidR="005849C0" w:rsidRDefault="005849C0" w:rsidP="007A338C">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Market Risk Premium (ERPM)</w:t>
      </w:r>
    </w:p>
    <w:p w:rsidR="005849C0" w:rsidRDefault="005849C0" w:rsidP="007A338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variables were calculated using T-bill rate as a proxy for risk-free rate of return. The data for T-bills was obtained from the website of State Bank of Pakistan (SBP). The t-bills data was made compatible with our data of monthly returns. </w:t>
      </w:r>
    </w:p>
    <w:p w:rsidR="005849C0" w:rsidRDefault="005849C0" w:rsidP="007A338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risk premium (ERPM) was calculated by subtracting market returns from risk-free rate of return by assuming KSE 100 as a proxy for the market. </w:t>
      </w:r>
    </w:p>
    <w:p w:rsidR="005849C0" w:rsidRDefault="005849C0" w:rsidP="007A338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All the stocks were equally weighted as we created dynamically rebalanced port</w:t>
      </w:r>
      <w:r w:rsidR="00180115">
        <w:rPr>
          <w:rFonts w:ascii="Times New Roman" w:hAnsi="Times New Roman" w:cs="Times New Roman"/>
          <w:sz w:val="24"/>
          <w:szCs w:val="24"/>
        </w:rPr>
        <w:t>folios for the given time span to estimate the portfolio returns.</w:t>
      </w:r>
    </w:p>
    <w:p w:rsidR="00A16219" w:rsidRDefault="00A16219" w:rsidP="007A338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Firstly, the relative performance of overall futures listed stocks was estimated followed by the relative performance of overall non-futures listed stocks. The </w:t>
      </w:r>
      <w:r w:rsidR="00C92F22">
        <w:rPr>
          <w:rFonts w:ascii="Times New Roman" w:hAnsi="Times New Roman" w:cs="Times New Roman"/>
          <w:sz w:val="24"/>
          <w:szCs w:val="24"/>
        </w:rPr>
        <w:t>results are displayed in Table 9 and table 10.</w:t>
      </w:r>
    </w:p>
    <w:p w:rsidR="006F7BD9" w:rsidRDefault="006F7BD9" w:rsidP="007A338C">
      <w:pPr>
        <w:spacing w:after="0" w:line="480" w:lineRule="auto"/>
        <w:jc w:val="both"/>
        <w:rPr>
          <w:rFonts w:ascii="Times New Roman" w:hAnsi="Times New Roman" w:cs="Times New Roman"/>
          <w:sz w:val="24"/>
          <w:szCs w:val="24"/>
        </w:rPr>
      </w:pPr>
    </w:p>
    <w:p w:rsidR="002E4081" w:rsidRDefault="002E4081" w:rsidP="007A338C">
      <w:pPr>
        <w:spacing w:after="0" w:line="480" w:lineRule="auto"/>
        <w:jc w:val="both"/>
        <w:rPr>
          <w:rFonts w:ascii="Times New Roman" w:hAnsi="Times New Roman" w:cs="Times New Roman"/>
          <w:sz w:val="24"/>
          <w:szCs w:val="24"/>
        </w:rPr>
      </w:pPr>
    </w:p>
    <w:p w:rsidR="004618A4" w:rsidRPr="002E15C6" w:rsidRDefault="00FC6883" w:rsidP="004618A4">
      <w:pPr>
        <w:spacing w:after="0"/>
        <w:rPr>
          <w:rFonts w:ascii="Times New Roman" w:hAnsi="Times New Roman" w:cs="Times New Roman"/>
          <w:b/>
          <w:sz w:val="24"/>
          <w:szCs w:val="24"/>
        </w:rPr>
      </w:pPr>
      <w:r>
        <w:rPr>
          <w:rFonts w:ascii="Times New Roman" w:hAnsi="Times New Roman" w:cs="Times New Roman"/>
          <w:b/>
          <w:sz w:val="24"/>
          <w:szCs w:val="24"/>
        </w:rPr>
        <w:t>Table 9</w:t>
      </w:r>
      <w:r w:rsidR="004618A4" w:rsidRPr="002E15C6">
        <w:rPr>
          <w:rFonts w:ascii="Times New Roman" w:hAnsi="Times New Roman" w:cs="Times New Roman"/>
          <w:b/>
          <w:sz w:val="24"/>
          <w:szCs w:val="24"/>
        </w:rPr>
        <w:t xml:space="preserve">: Relative Performance of </w:t>
      </w:r>
      <w:r w:rsidR="0038436A">
        <w:rPr>
          <w:rFonts w:ascii="Times New Roman" w:hAnsi="Times New Roman" w:cs="Times New Roman"/>
          <w:b/>
          <w:sz w:val="24"/>
          <w:szCs w:val="24"/>
        </w:rPr>
        <w:t xml:space="preserve">Portfolios </w:t>
      </w:r>
      <w:r w:rsidR="004618A4" w:rsidRPr="002E15C6">
        <w:rPr>
          <w:rFonts w:ascii="Times New Roman" w:hAnsi="Times New Roman" w:cs="Times New Roman"/>
          <w:b/>
          <w:sz w:val="24"/>
          <w:szCs w:val="24"/>
        </w:rPr>
        <w:t>(Overall)</w:t>
      </w:r>
    </w:p>
    <w:p w:rsidR="004618A4" w:rsidRPr="004618A4" w:rsidRDefault="004618A4" w:rsidP="004618A4">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tblPr>
      <w:tblGrid>
        <w:gridCol w:w="2130"/>
        <w:gridCol w:w="990"/>
        <w:gridCol w:w="1207"/>
        <w:gridCol w:w="1208"/>
        <w:gridCol w:w="997"/>
      </w:tblGrid>
      <w:tr w:rsidR="00941B55" w:rsidRPr="00022481" w:rsidTr="00D62170">
        <w:trPr>
          <w:trHeight w:val="225"/>
        </w:trPr>
        <w:tc>
          <w:tcPr>
            <w:tcW w:w="6532" w:type="dxa"/>
            <w:gridSpan w:val="5"/>
            <w:tcBorders>
              <w:top w:val="nil"/>
              <w:left w:val="nil"/>
              <w:bottom w:val="nil"/>
              <w:right w:val="nil"/>
            </w:tcBorders>
            <w:vAlign w:val="bottom"/>
          </w:tcPr>
          <w:p w:rsidR="00941B55" w:rsidRPr="00022481" w:rsidRDefault="00941B55" w:rsidP="00941B55">
            <w:pPr>
              <w:autoSpaceDE w:val="0"/>
              <w:autoSpaceDN w:val="0"/>
              <w:adjustRightInd w:val="0"/>
              <w:spacing w:after="0" w:line="240" w:lineRule="auto"/>
              <w:ind w:right="10"/>
              <w:jc w:val="center"/>
              <w:rPr>
                <w:rFonts w:ascii="Times New Roman" w:hAnsi="Times New Roman" w:cs="Times New Roman"/>
                <w:b/>
                <w:color w:val="000000"/>
                <w:sz w:val="21"/>
                <w:szCs w:val="21"/>
              </w:rPr>
            </w:pPr>
            <w:r w:rsidRPr="00022481">
              <w:rPr>
                <w:rFonts w:ascii="Times New Roman" w:hAnsi="Times New Roman" w:cs="Times New Roman"/>
                <w:b/>
                <w:color w:val="000000"/>
                <w:sz w:val="21"/>
                <w:szCs w:val="21"/>
              </w:rPr>
              <w:t>Futures Listed Stocks (Overall)</w:t>
            </w:r>
          </w:p>
        </w:tc>
      </w:tr>
      <w:tr w:rsidR="00022481" w:rsidRPr="00022481" w:rsidTr="00D62170">
        <w:trPr>
          <w:trHeight w:val="225"/>
        </w:trPr>
        <w:tc>
          <w:tcPr>
            <w:tcW w:w="6532" w:type="dxa"/>
            <w:gridSpan w:val="5"/>
            <w:tcBorders>
              <w:top w:val="nil"/>
              <w:left w:val="nil"/>
              <w:bottom w:val="nil"/>
              <w:right w:val="nil"/>
            </w:tcBorders>
            <w:vAlign w:val="bottom"/>
          </w:tcPr>
          <w:p w:rsidR="00022481" w:rsidRPr="00022481" w:rsidRDefault="00022481" w:rsidP="00941B55">
            <w:pPr>
              <w:autoSpaceDE w:val="0"/>
              <w:autoSpaceDN w:val="0"/>
              <w:adjustRightInd w:val="0"/>
              <w:spacing w:after="0" w:line="240" w:lineRule="auto"/>
              <w:ind w:right="10"/>
              <w:jc w:val="center"/>
              <w:rPr>
                <w:rFonts w:ascii="Times New Roman" w:hAnsi="Times New Roman" w:cs="Times New Roman"/>
                <w:b/>
                <w:color w:val="000000"/>
                <w:sz w:val="21"/>
                <w:szCs w:val="21"/>
              </w:rPr>
            </w:pPr>
          </w:p>
        </w:tc>
      </w:tr>
      <w:tr w:rsidR="004618A4" w:rsidRPr="00022481" w:rsidTr="00022481">
        <w:trPr>
          <w:trHeight w:val="225"/>
        </w:trPr>
        <w:tc>
          <w:tcPr>
            <w:tcW w:w="2130"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b/>
                <w:color w:val="000000"/>
                <w:sz w:val="21"/>
                <w:szCs w:val="21"/>
              </w:rPr>
            </w:pPr>
            <w:r w:rsidRPr="00022481">
              <w:rPr>
                <w:rFonts w:ascii="Times New Roman" w:hAnsi="Times New Roman" w:cs="Times New Roman"/>
                <w:b/>
                <w:color w:val="000000"/>
                <w:sz w:val="21"/>
                <w:szCs w:val="21"/>
              </w:rPr>
              <w:t>Variable</w:t>
            </w:r>
          </w:p>
        </w:tc>
        <w:tc>
          <w:tcPr>
            <w:tcW w:w="990"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ind w:right="10"/>
              <w:jc w:val="right"/>
              <w:rPr>
                <w:rFonts w:ascii="Times New Roman" w:hAnsi="Times New Roman" w:cs="Times New Roman"/>
                <w:b/>
                <w:color w:val="000000"/>
                <w:sz w:val="21"/>
                <w:szCs w:val="21"/>
              </w:rPr>
            </w:pPr>
            <w:r w:rsidRPr="00022481">
              <w:rPr>
                <w:rFonts w:ascii="Times New Roman" w:hAnsi="Times New Roman" w:cs="Times New Roman"/>
                <w:b/>
                <w:color w:val="000000"/>
                <w:sz w:val="21"/>
                <w:szCs w:val="21"/>
              </w:rPr>
              <w:t>Coefficient</w:t>
            </w:r>
          </w:p>
        </w:tc>
        <w:tc>
          <w:tcPr>
            <w:tcW w:w="1207"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ind w:right="10"/>
              <w:jc w:val="right"/>
              <w:rPr>
                <w:rFonts w:ascii="Times New Roman" w:hAnsi="Times New Roman" w:cs="Times New Roman"/>
                <w:b/>
                <w:color w:val="000000"/>
                <w:sz w:val="21"/>
                <w:szCs w:val="21"/>
              </w:rPr>
            </w:pPr>
            <w:r w:rsidRPr="00022481">
              <w:rPr>
                <w:rFonts w:ascii="Times New Roman" w:hAnsi="Times New Roman" w:cs="Times New Roman"/>
                <w:b/>
                <w:color w:val="000000"/>
                <w:sz w:val="21"/>
                <w:szCs w:val="21"/>
              </w:rPr>
              <w:t>Std. Error</w:t>
            </w:r>
          </w:p>
        </w:tc>
        <w:tc>
          <w:tcPr>
            <w:tcW w:w="1208"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ind w:right="10"/>
              <w:jc w:val="right"/>
              <w:rPr>
                <w:rFonts w:ascii="Times New Roman" w:hAnsi="Times New Roman" w:cs="Times New Roman"/>
                <w:b/>
                <w:color w:val="000000"/>
                <w:sz w:val="21"/>
                <w:szCs w:val="21"/>
              </w:rPr>
            </w:pPr>
            <w:r w:rsidRPr="00022481">
              <w:rPr>
                <w:rFonts w:ascii="Times New Roman" w:hAnsi="Times New Roman" w:cs="Times New Roman"/>
                <w:b/>
                <w:color w:val="000000"/>
                <w:sz w:val="21"/>
                <w:szCs w:val="21"/>
              </w:rPr>
              <w:t>t-Statistic</w:t>
            </w:r>
          </w:p>
        </w:tc>
        <w:tc>
          <w:tcPr>
            <w:tcW w:w="997"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ind w:right="10"/>
              <w:jc w:val="right"/>
              <w:rPr>
                <w:rFonts w:ascii="Times New Roman" w:hAnsi="Times New Roman" w:cs="Times New Roman"/>
                <w:b/>
                <w:color w:val="000000"/>
                <w:sz w:val="21"/>
                <w:szCs w:val="21"/>
              </w:rPr>
            </w:pPr>
            <w:r w:rsidRPr="00022481">
              <w:rPr>
                <w:rFonts w:ascii="Times New Roman" w:hAnsi="Times New Roman" w:cs="Times New Roman"/>
                <w:b/>
                <w:color w:val="000000"/>
                <w:sz w:val="21"/>
                <w:szCs w:val="21"/>
              </w:rPr>
              <w:t>Prob.  </w:t>
            </w:r>
          </w:p>
        </w:tc>
      </w:tr>
      <w:tr w:rsidR="004618A4" w:rsidRPr="00022481" w:rsidTr="00022481">
        <w:trPr>
          <w:trHeight w:hRule="exact" w:val="90"/>
        </w:trPr>
        <w:tc>
          <w:tcPr>
            <w:tcW w:w="2130" w:type="dxa"/>
            <w:tcBorders>
              <w:top w:val="nil"/>
              <w:left w:val="nil"/>
              <w:bottom w:val="double" w:sz="6" w:space="2" w:color="auto"/>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990" w:type="dxa"/>
            <w:tcBorders>
              <w:top w:val="nil"/>
              <w:left w:val="nil"/>
              <w:bottom w:val="double" w:sz="6" w:space="2" w:color="auto"/>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1207" w:type="dxa"/>
            <w:tcBorders>
              <w:top w:val="nil"/>
              <w:left w:val="nil"/>
              <w:bottom w:val="double" w:sz="6" w:space="2" w:color="auto"/>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1208" w:type="dxa"/>
            <w:tcBorders>
              <w:top w:val="nil"/>
              <w:left w:val="nil"/>
              <w:bottom w:val="double" w:sz="6" w:space="2" w:color="auto"/>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997" w:type="dxa"/>
            <w:tcBorders>
              <w:top w:val="nil"/>
              <w:left w:val="nil"/>
              <w:bottom w:val="double" w:sz="6" w:space="2" w:color="auto"/>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r>
      <w:tr w:rsidR="004618A4" w:rsidRPr="00022481" w:rsidTr="00022481">
        <w:trPr>
          <w:trHeight w:hRule="exact" w:val="135"/>
        </w:trPr>
        <w:tc>
          <w:tcPr>
            <w:tcW w:w="2130"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990"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1207"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1208"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997"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r>
      <w:tr w:rsidR="004B1928" w:rsidRPr="00022481" w:rsidTr="00022481">
        <w:trPr>
          <w:trHeight w:val="225"/>
        </w:trPr>
        <w:tc>
          <w:tcPr>
            <w:tcW w:w="2130" w:type="dxa"/>
            <w:tcBorders>
              <w:top w:val="nil"/>
              <w:left w:val="nil"/>
              <w:bottom w:val="nil"/>
              <w:right w:val="nil"/>
            </w:tcBorders>
            <w:vAlign w:val="bottom"/>
          </w:tcPr>
          <w:p w:rsidR="004B1928" w:rsidRPr="00022481" w:rsidRDefault="002E6858" w:rsidP="004B1928">
            <w:pPr>
              <w:autoSpaceDE w:val="0"/>
              <w:autoSpaceDN w:val="0"/>
              <w:adjustRightInd w:val="0"/>
              <w:spacing w:after="0" w:line="240" w:lineRule="auto"/>
              <w:jc w:val="center"/>
              <w:rPr>
                <w:rFonts w:ascii="Times New Roman" w:hAnsi="Times New Roman" w:cs="Times New Roman"/>
                <w:b/>
                <w:color w:val="000000"/>
                <w:sz w:val="21"/>
                <w:szCs w:val="21"/>
              </w:rPr>
            </w:pPr>
            <w:r w:rsidRPr="00022481">
              <w:rPr>
                <w:rFonts w:ascii="Times New Roman" w:hAnsi="Times New Roman" w:cs="Times New Roman"/>
                <w:b/>
                <w:color w:val="000000"/>
                <w:sz w:val="21"/>
                <w:szCs w:val="21"/>
              </w:rPr>
              <w:t>Excess Market Return</w:t>
            </w:r>
          </w:p>
        </w:tc>
        <w:tc>
          <w:tcPr>
            <w:tcW w:w="990" w:type="dxa"/>
            <w:tcBorders>
              <w:top w:val="nil"/>
              <w:left w:val="nil"/>
              <w:bottom w:val="nil"/>
              <w:right w:val="nil"/>
            </w:tcBorders>
            <w:vAlign w:val="bottom"/>
          </w:tcPr>
          <w:p w:rsidR="004B1928" w:rsidRPr="00022481" w:rsidRDefault="004B1928" w:rsidP="004B1928">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-0.113916</w:t>
            </w:r>
          </w:p>
        </w:tc>
        <w:tc>
          <w:tcPr>
            <w:tcW w:w="1207" w:type="dxa"/>
            <w:tcBorders>
              <w:top w:val="nil"/>
              <w:left w:val="nil"/>
              <w:bottom w:val="nil"/>
              <w:right w:val="nil"/>
            </w:tcBorders>
            <w:vAlign w:val="bottom"/>
          </w:tcPr>
          <w:p w:rsidR="004B1928" w:rsidRPr="00022481" w:rsidRDefault="004B1928" w:rsidP="004B1928">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0.039158</w:t>
            </w:r>
          </w:p>
        </w:tc>
        <w:tc>
          <w:tcPr>
            <w:tcW w:w="1208" w:type="dxa"/>
            <w:tcBorders>
              <w:top w:val="nil"/>
              <w:left w:val="nil"/>
              <w:bottom w:val="nil"/>
              <w:right w:val="nil"/>
            </w:tcBorders>
            <w:vAlign w:val="bottom"/>
          </w:tcPr>
          <w:p w:rsidR="004B1928" w:rsidRPr="00022481" w:rsidRDefault="004B1928" w:rsidP="004B1928">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-2.909135</w:t>
            </w:r>
          </w:p>
        </w:tc>
        <w:tc>
          <w:tcPr>
            <w:tcW w:w="997" w:type="dxa"/>
            <w:tcBorders>
              <w:top w:val="nil"/>
              <w:left w:val="nil"/>
              <w:bottom w:val="nil"/>
              <w:right w:val="nil"/>
            </w:tcBorders>
            <w:vAlign w:val="bottom"/>
          </w:tcPr>
          <w:p w:rsidR="004B1928" w:rsidRPr="00022481" w:rsidRDefault="00454B34" w:rsidP="004B1928">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0.0</w:t>
            </w:r>
          </w:p>
        </w:tc>
      </w:tr>
      <w:tr w:rsidR="004B1928" w:rsidRPr="00022481" w:rsidTr="00022481">
        <w:trPr>
          <w:trHeight w:val="225"/>
        </w:trPr>
        <w:tc>
          <w:tcPr>
            <w:tcW w:w="2130" w:type="dxa"/>
            <w:tcBorders>
              <w:top w:val="nil"/>
              <w:left w:val="nil"/>
              <w:bottom w:val="nil"/>
              <w:right w:val="nil"/>
            </w:tcBorders>
            <w:vAlign w:val="bottom"/>
          </w:tcPr>
          <w:p w:rsidR="004B1928" w:rsidRPr="00022481" w:rsidRDefault="002E6858" w:rsidP="004B1928">
            <w:pPr>
              <w:autoSpaceDE w:val="0"/>
              <w:autoSpaceDN w:val="0"/>
              <w:adjustRightInd w:val="0"/>
              <w:spacing w:after="0" w:line="240" w:lineRule="auto"/>
              <w:jc w:val="center"/>
              <w:rPr>
                <w:rFonts w:ascii="Times New Roman" w:hAnsi="Times New Roman" w:cs="Times New Roman"/>
                <w:b/>
                <w:color w:val="000000"/>
                <w:sz w:val="21"/>
                <w:szCs w:val="21"/>
              </w:rPr>
            </w:pPr>
            <w:r w:rsidRPr="00022481">
              <w:rPr>
                <w:rFonts w:ascii="Times New Roman" w:hAnsi="Times New Roman" w:cs="Times New Roman"/>
                <w:b/>
                <w:color w:val="000000"/>
                <w:sz w:val="21"/>
                <w:szCs w:val="21"/>
              </w:rPr>
              <w:t>Market Risk Premium</w:t>
            </w:r>
          </w:p>
        </w:tc>
        <w:tc>
          <w:tcPr>
            <w:tcW w:w="990" w:type="dxa"/>
            <w:tcBorders>
              <w:top w:val="nil"/>
              <w:left w:val="nil"/>
              <w:bottom w:val="nil"/>
              <w:right w:val="nil"/>
            </w:tcBorders>
            <w:vAlign w:val="bottom"/>
          </w:tcPr>
          <w:p w:rsidR="004B1928" w:rsidRPr="00022481" w:rsidRDefault="004B1928" w:rsidP="004B1928">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1.101659</w:t>
            </w:r>
          </w:p>
        </w:tc>
        <w:tc>
          <w:tcPr>
            <w:tcW w:w="1207" w:type="dxa"/>
            <w:tcBorders>
              <w:top w:val="nil"/>
              <w:left w:val="nil"/>
              <w:bottom w:val="nil"/>
              <w:right w:val="nil"/>
            </w:tcBorders>
            <w:vAlign w:val="bottom"/>
          </w:tcPr>
          <w:p w:rsidR="004B1928" w:rsidRPr="00022481" w:rsidRDefault="004B1928" w:rsidP="004B1928">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0.007943</w:t>
            </w:r>
          </w:p>
        </w:tc>
        <w:tc>
          <w:tcPr>
            <w:tcW w:w="1208" w:type="dxa"/>
            <w:tcBorders>
              <w:top w:val="nil"/>
              <w:left w:val="nil"/>
              <w:bottom w:val="nil"/>
              <w:right w:val="nil"/>
            </w:tcBorders>
            <w:vAlign w:val="bottom"/>
          </w:tcPr>
          <w:p w:rsidR="004B1928" w:rsidRPr="00022481" w:rsidRDefault="004B1928" w:rsidP="004B1928">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138.7040</w:t>
            </w:r>
          </w:p>
        </w:tc>
        <w:tc>
          <w:tcPr>
            <w:tcW w:w="997" w:type="dxa"/>
            <w:tcBorders>
              <w:top w:val="nil"/>
              <w:left w:val="nil"/>
              <w:bottom w:val="nil"/>
              <w:right w:val="nil"/>
            </w:tcBorders>
            <w:vAlign w:val="bottom"/>
          </w:tcPr>
          <w:p w:rsidR="004B1928" w:rsidRPr="00022481" w:rsidRDefault="00454B34" w:rsidP="004B1928">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w:t>
            </w:r>
            <w:r w:rsidR="004B1928" w:rsidRPr="00022481">
              <w:rPr>
                <w:rFonts w:ascii="Times New Roman" w:hAnsi="Times New Roman" w:cs="Times New Roman"/>
                <w:color w:val="000000"/>
                <w:sz w:val="21"/>
                <w:szCs w:val="21"/>
              </w:rPr>
              <w:t>0</w:t>
            </w:r>
          </w:p>
        </w:tc>
      </w:tr>
      <w:tr w:rsidR="004618A4" w:rsidRPr="00022481" w:rsidTr="00022481">
        <w:trPr>
          <w:trHeight w:hRule="exact" w:val="90"/>
        </w:trPr>
        <w:tc>
          <w:tcPr>
            <w:tcW w:w="2130" w:type="dxa"/>
            <w:tcBorders>
              <w:top w:val="nil"/>
              <w:left w:val="nil"/>
              <w:bottom w:val="double" w:sz="6" w:space="2" w:color="auto"/>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990" w:type="dxa"/>
            <w:tcBorders>
              <w:top w:val="nil"/>
              <w:left w:val="nil"/>
              <w:bottom w:val="double" w:sz="6" w:space="2" w:color="auto"/>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1207" w:type="dxa"/>
            <w:tcBorders>
              <w:top w:val="nil"/>
              <w:left w:val="nil"/>
              <w:bottom w:val="double" w:sz="6" w:space="2" w:color="auto"/>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1208" w:type="dxa"/>
            <w:tcBorders>
              <w:top w:val="nil"/>
              <w:left w:val="nil"/>
              <w:bottom w:val="double" w:sz="6" w:space="2" w:color="auto"/>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997" w:type="dxa"/>
            <w:tcBorders>
              <w:top w:val="nil"/>
              <w:left w:val="nil"/>
              <w:bottom w:val="double" w:sz="6" w:space="2" w:color="auto"/>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r>
      <w:tr w:rsidR="004618A4" w:rsidRPr="00022481" w:rsidTr="00022481">
        <w:trPr>
          <w:trHeight w:hRule="exact" w:val="135"/>
        </w:trPr>
        <w:tc>
          <w:tcPr>
            <w:tcW w:w="2130"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990"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1207"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1208"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c>
          <w:tcPr>
            <w:tcW w:w="997" w:type="dxa"/>
            <w:tcBorders>
              <w:top w:val="nil"/>
              <w:left w:val="nil"/>
              <w:bottom w:val="nil"/>
              <w:right w:val="nil"/>
            </w:tcBorders>
            <w:vAlign w:val="bottom"/>
          </w:tcPr>
          <w:p w:rsidR="004618A4" w:rsidRPr="00022481" w:rsidRDefault="004618A4" w:rsidP="004618A4">
            <w:pPr>
              <w:autoSpaceDE w:val="0"/>
              <w:autoSpaceDN w:val="0"/>
              <w:adjustRightInd w:val="0"/>
              <w:spacing w:after="0" w:line="240" w:lineRule="auto"/>
              <w:jc w:val="center"/>
              <w:rPr>
                <w:rFonts w:ascii="Times New Roman" w:hAnsi="Times New Roman" w:cs="Times New Roman"/>
                <w:color w:val="000000"/>
                <w:sz w:val="21"/>
                <w:szCs w:val="21"/>
              </w:rPr>
            </w:pPr>
          </w:p>
        </w:tc>
      </w:tr>
      <w:tr w:rsidR="00EA05A1" w:rsidRPr="00022481" w:rsidTr="00022481">
        <w:trPr>
          <w:gridAfter w:val="3"/>
          <w:wAfter w:w="3412" w:type="dxa"/>
          <w:trHeight w:val="225"/>
        </w:trPr>
        <w:tc>
          <w:tcPr>
            <w:tcW w:w="2130" w:type="dxa"/>
            <w:tcBorders>
              <w:top w:val="nil"/>
              <w:left w:val="nil"/>
              <w:bottom w:val="nil"/>
              <w:right w:val="nil"/>
            </w:tcBorders>
            <w:vAlign w:val="bottom"/>
          </w:tcPr>
          <w:p w:rsidR="00EA05A1" w:rsidRPr="00022481" w:rsidRDefault="00EA05A1" w:rsidP="004618A4">
            <w:pPr>
              <w:autoSpaceDE w:val="0"/>
              <w:autoSpaceDN w:val="0"/>
              <w:adjustRightInd w:val="0"/>
              <w:spacing w:after="0" w:line="240" w:lineRule="auto"/>
              <w:rPr>
                <w:rFonts w:ascii="Times New Roman" w:hAnsi="Times New Roman" w:cs="Times New Roman"/>
                <w:color w:val="000000"/>
                <w:sz w:val="21"/>
                <w:szCs w:val="21"/>
              </w:rPr>
            </w:pPr>
            <w:r w:rsidRPr="00022481">
              <w:rPr>
                <w:rFonts w:ascii="Times New Roman" w:hAnsi="Times New Roman" w:cs="Times New Roman"/>
                <w:color w:val="000000"/>
                <w:sz w:val="21"/>
                <w:szCs w:val="21"/>
              </w:rPr>
              <w:t>R-squared</w:t>
            </w:r>
          </w:p>
        </w:tc>
        <w:tc>
          <w:tcPr>
            <w:tcW w:w="990" w:type="dxa"/>
            <w:tcBorders>
              <w:top w:val="nil"/>
              <w:left w:val="nil"/>
              <w:bottom w:val="nil"/>
              <w:right w:val="nil"/>
            </w:tcBorders>
            <w:vAlign w:val="bottom"/>
          </w:tcPr>
          <w:p w:rsidR="00EA05A1" w:rsidRPr="00022481" w:rsidRDefault="00EA05A1" w:rsidP="004618A4">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0.244253</w:t>
            </w:r>
          </w:p>
        </w:tc>
      </w:tr>
      <w:tr w:rsidR="00EA05A1" w:rsidRPr="00022481" w:rsidTr="00022481">
        <w:trPr>
          <w:gridAfter w:val="3"/>
          <w:wAfter w:w="3412" w:type="dxa"/>
          <w:trHeight w:val="225"/>
        </w:trPr>
        <w:tc>
          <w:tcPr>
            <w:tcW w:w="2130" w:type="dxa"/>
            <w:tcBorders>
              <w:top w:val="nil"/>
              <w:left w:val="nil"/>
              <w:bottom w:val="nil"/>
              <w:right w:val="nil"/>
            </w:tcBorders>
            <w:vAlign w:val="bottom"/>
          </w:tcPr>
          <w:p w:rsidR="00EA05A1" w:rsidRPr="00022481" w:rsidRDefault="00EA05A1" w:rsidP="004618A4">
            <w:pPr>
              <w:autoSpaceDE w:val="0"/>
              <w:autoSpaceDN w:val="0"/>
              <w:adjustRightInd w:val="0"/>
              <w:spacing w:after="0" w:line="240" w:lineRule="auto"/>
              <w:rPr>
                <w:rFonts w:ascii="Times New Roman" w:hAnsi="Times New Roman" w:cs="Times New Roman"/>
                <w:color w:val="000000"/>
                <w:sz w:val="21"/>
                <w:szCs w:val="21"/>
              </w:rPr>
            </w:pPr>
            <w:r w:rsidRPr="00022481">
              <w:rPr>
                <w:rFonts w:ascii="Times New Roman" w:hAnsi="Times New Roman" w:cs="Times New Roman"/>
                <w:color w:val="000000"/>
                <w:sz w:val="21"/>
                <w:szCs w:val="21"/>
              </w:rPr>
              <w:t>Adjusted R-squared</w:t>
            </w:r>
          </w:p>
        </w:tc>
        <w:tc>
          <w:tcPr>
            <w:tcW w:w="990" w:type="dxa"/>
            <w:tcBorders>
              <w:top w:val="nil"/>
              <w:left w:val="nil"/>
              <w:bottom w:val="nil"/>
              <w:right w:val="nil"/>
            </w:tcBorders>
            <w:vAlign w:val="bottom"/>
          </w:tcPr>
          <w:p w:rsidR="00EA05A1" w:rsidRPr="00022481" w:rsidRDefault="00EA05A1" w:rsidP="004618A4">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0.244240</w:t>
            </w:r>
          </w:p>
        </w:tc>
      </w:tr>
      <w:tr w:rsidR="00EA05A1" w:rsidRPr="00022481" w:rsidTr="00022481">
        <w:trPr>
          <w:gridAfter w:val="3"/>
          <w:wAfter w:w="3412" w:type="dxa"/>
          <w:trHeight w:val="225"/>
        </w:trPr>
        <w:tc>
          <w:tcPr>
            <w:tcW w:w="2130" w:type="dxa"/>
            <w:tcBorders>
              <w:top w:val="nil"/>
              <w:left w:val="nil"/>
              <w:bottom w:val="nil"/>
              <w:right w:val="nil"/>
            </w:tcBorders>
            <w:vAlign w:val="bottom"/>
          </w:tcPr>
          <w:p w:rsidR="00EA05A1" w:rsidRPr="00022481" w:rsidRDefault="00EA05A1" w:rsidP="004618A4">
            <w:pPr>
              <w:autoSpaceDE w:val="0"/>
              <w:autoSpaceDN w:val="0"/>
              <w:adjustRightInd w:val="0"/>
              <w:spacing w:after="0" w:line="240" w:lineRule="auto"/>
              <w:rPr>
                <w:rFonts w:ascii="Times New Roman" w:hAnsi="Times New Roman" w:cs="Times New Roman"/>
                <w:color w:val="000000"/>
                <w:sz w:val="21"/>
                <w:szCs w:val="21"/>
              </w:rPr>
            </w:pPr>
            <w:r w:rsidRPr="00022481">
              <w:rPr>
                <w:rFonts w:ascii="Times New Roman" w:hAnsi="Times New Roman" w:cs="Times New Roman"/>
                <w:color w:val="000000"/>
                <w:sz w:val="21"/>
                <w:szCs w:val="21"/>
              </w:rPr>
              <w:t>F-statistic</w:t>
            </w:r>
          </w:p>
        </w:tc>
        <w:tc>
          <w:tcPr>
            <w:tcW w:w="990" w:type="dxa"/>
            <w:tcBorders>
              <w:top w:val="nil"/>
              <w:left w:val="nil"/>
              <w:bottom w:val="nil"/>
              <w:right w:val="nil"/>
            </w:tcBorders>
            <w:vAlign w:val="bottom"/>
          </w:tcPr>
          <w:p w:rsidR="00EA05A1" w:rsidRPr="00022481" w:rsidRDefault="00EA05A1" w:rsidP="004618A4">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19238.79</w:t>
            </w:r>
          </w:p>
        </w:tc>
      </w:tr>
      <w:tr w:rsidR="00EA05A1" w:rsidRPr="00022481" w:rsidTr="00022481">
        <w:trPr>
          <w:gridAfter w:val="3"/>
          <w:wAfter w:w="3412" w:type="dxa"/>
          <w:trHeight w:val="225"/>
        </w:trPr>
        <w:tc>
          <w:tcPr>
            <w:tcW w:w="2130" w:type="dxa"/>
            <w:tcBorders>
              <w:top w:val="nil"/>
              <w:left w:val="nil"/>
              <w:bottom w:val="nil"/>
              <w:right w:val="nil"/>
            </w:tcBorders>
            <w:vAlign w:val="bottom"/>
          </w:tcPr>
          <w:p w:rsidR="00EA05A1" w:rsidRPr="00022481" w:rsidRDefault="00EA05A1" w:rsidP="004618A4">
            <w:pPr>
              <w:autoSpaceDE w:val="0"/>
              <w:autoSpaceDN w:val="0"/>
              <w:adjustRightInd w:val="0"/>
              <w:spacing w:after="0" w:line="240" w:lineRule="auto"/>
              <w:rPr>
                <w:rFonts w:ascii="Times New Roman" w:hAnsi="Times New Roman" w:cs="Times New Roman"/>
                <w:color w:val="000000"/>
                <w:sz w:val="21"/>
                <w:szCs w:val="21"/>
              </w:rPr>
            </w:pPr>
            <w:r w:rsidRPr="00022481">
              <w:rPr>
                <w:rFonts w:ascii="Times New Roman" w:hAnsi="Times New Roman" w:cs="Times New Roman"/>
                <w:color w:val="000000"/>
                <w:sz w:val="21"/>
                <w:szCs w:val="21"/>
              </w:rPr>
              <w:t>Prob(F-statistic)</w:t>
            </w:r>
          </w:p>
        </w:tc>
        <w:tc>
          <w:tcPr>
            <w:tcW w:w="990" w:type="dxa"/>
            <w:tcBorders>
              <w:top w:val="nil"/>
              <w:left w:val="nil"/>
              <w:bottom w:val="nil"/>
              <w:right w:val="nil"/>
            </w:tcBorders>
            <w:vAlign w:val="bottom"/>
          </w:tcPr>
          <w:p w:rsidR="00EA05A1" w:rsidRPr="00022481" w:rsidRDefault="00EA05A1" w:rsidP="004618A4">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0.000000</w:t>
            </w:r>
          </w:p>
        </w:tc>
      </w:tr>
      <w:tr w:rsidR="00EA05A1" w:rsidRPr="00022481" w:rsidTr="00022481">
        <w:trPr>
          <w:gridAfter w:val="3"/>
          <w:wAfter w:w="3412" w:type="dxa"/>
          <w:trHeight w:val="225"/>
        </w:trPr>
        <w:tc>
          <w:tcPr>
            <w:tcW w:w="2130" w:type="dxa"/>
            <w:tcBorders>
              <w:top w:val="nil"/>
              <w:left w:val="nil"/>
              <w:bottom w:val="nil"/>
              <w:right w:val="nil"/>
            </w:tcBorders>
            <w:vAlign w:val="bottom"/>
          </w:tcPr>
          <w:p w:rsidR="00EA05A1" w:rsidRPr="00022481" w:rsidRDefault="00EA05A1" w:rsidP="004618A4">
            <w:pPr>
              <w:autoSpaceDE w:val="0"/>
              <w:autoSpaceDN w:val="0"/>
              <w:adjustRightInd w:val="0"/>
              <w:spacing w:after="0" w:line="240" w:lineRule="auto"/>
              <w:rPr>
                <w:rFonts w:ascii="Times New Roman" w:hAnsi="Times New Roman" w:cs="Times New Roman"/>
                <w:color w:val="000000"/>
                <w:sz w:val="21"/>
                <w:szCs w:val="21"/>
              </w:rPr>
            </w:pPr>
          </w:p>
        </w:tc>
        <w:tc>
          <w:tcPr>
            <w:tcW w:w="990" w:type="dxa"/>
            <w:tcBorders>
              <w:top w:val="nil"/>
              <w:left w:val="nil"/>
              <w:bottom w:val="nil"/>
              <w:right w:val="nil"/>
            </w:tcBorders>
            <w:vAlign w:val="bottom"/>
          </w:tcPr>
          <w:p w:rsidR="00EA05A1" w:rsidRPr="00022481" w:rsidRDefault="00EA05A1" w:rsidP="004618A4">
            <w:pPr>
              <w:autoSpaceDE w:val="0"/>
              <w:autoSpaceDN w:val="0"/>
              <w:adjustRightInd w:val="0"/>
              <w:spacing w:after="0" w:line="240" w:lineRule="auto"/>
              <w:ind w:right="10"/>
              <w:jc w:val="right"/>
              <w:rPr>
                <w:rFonts w:ascii="Times New Roman" w:hAnsi="Times New Roman" w:cs="Times New Roman"/>
                <w:color w:val="000000"/>
                <w:sz w:val="21"/>
                <w:szCs w:val="21"/>
              </w:rPr>
            </w:pPr>
          </w:p>
        </w:tc>
      </w:tr>
      <w:tr w:rsidR="00EA05A1" w:rsidRPr="00022481" w:rsidTr="00D62170">
        <w:trPr>
          <w:trHeight w:val="225"/>
        </w:trPr>
        <w:tc>
          <w:tcPr>
            <w:tcW w:w="6532" w:type="dxa"/>
            <w:gridSpan w:val="5"/>
            <w:tcBorders>
              <w:top w:val="nil"/>
              <w:left w:val="nil"/>
              <w:bottom w:val="nil"/>
              <w:right w:val="nil"/>
            </w:tcBorders>
            <w:vAlign w:val="bottom"/>
          </w:tcPr>
          <w:p w:rsidR="00EA05A1" w:rsidRPr="00022481" w:rsidRDefault="00EA05A1" w:rsidP="00EA05A1">
            <w:pPr>
              <w:autoSpaceDE w:val="0"/>
              <w:autoSpaceDN w:val="0"/>
              <w:adjustRightInd w:val="0"/>
              <w:spacing w:after="0" w:line="240" w:lineRule="auto"/>
              <w:ind w:right="10"/>
              <w:jc w:val="center"/>
              <w:rPr>
                <w:rFonts w:ascii="Times New Roman" w:hAnsi="Times New Roman" w:cs="Times New Roman"/>
                <w:b/>
                <w:color w:val="000000"/>
                <w:sz w:val="21"/>
                <w:szCs w:val="21"/>
              </w:rPr>
            </w:pPr>
            <w:r w:rsidRPr="00022481">
              <w:rPr>
                <w:rFonts w:ascii="Times New Roman" w:hAnsi="Times New Roman" w:cs="Times New Roman"/>
                <w:b/>
                <w:color w:val="000000"/>
                <w:sz w:val="21"/>
                <w:szCs w:val="21"/>
              </w:rPr>
              <w:t>Non - Futures Listed Stocks (Overall)</w:t>
            </w:r>
          </w:p>
        </w:tc>
      </w:tr>
      <w:tr w:rsidR="00022481" w:rsidRPr="00022481" w:rsidTr="00D62170">
        <w:trPr>
          <w:trHeight w:val="225"/>
        </w:trPr>
        <w:tc>
          <w:tcPr>
            <w:tcW w:w="6532" w:type="dxa"/>
            <w:gridSpan w:val="5"/>
            <w:tcBorders>
              <w:top w:val="nil"/>
              <w:left w:val="nil"/>
              <w:bottom w:val="nil"/>
              <w:right w:val="nil"/>
            </w:tcBorders>
            <w:vAlign w:val="bottom"/>
          </w:tcPr>
          <w:p w:rsidR="00022481" w:rsidRPr="00022481" w:rsidRDefault="00022481" w:rsidP="00EA05A1">
            <w:pPr>
              <w:autoSpaceDE w:val="0"/>
              <w:autoSpaceDN w:val="0"/>
              <w:adjustRightInd w:val="0"/>
              <w:spacing w:after="0" w:line="240" w:lineRule="auto"/>
              <w:ind w:right="10"/>
              <w:jc w:val="center"/>
              <w:rPr>
                <w:rFonts w:ascii="Times New Roman" w:hAnsi="Times New Roman" w:cs="Times New Roman"/>
                <w:b/>
                <w:color w:val="000000"/>
                <w:sz w:val="21"/>
                <w:szCs w:val="21"/>
              </w:rPr>
            </w:pPr>
          </w:p>
        </w:tc>
      </w:tr>
      <w:tr w:rsidR="00EA05A1" w:rsidRPr="00022481" w:rsidTr="00022481">
        <w:trPr>
          <w:trHeight w:val="225"/>
        </w:trPr>
        <w:tc>
          <w:tcPr>
            <w:tcW w:w="213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b/>
                <w:color w:val="000000"/>
                <w:sz w:val="21"/>
                <w:szCs w:val="21"/>
              </w:rPr>
            </w:pPr>
            <w:r w:rsidRPr="00022481">
              <w:rPr>
                <w:rFonts w:ascii="Times New Roman" w:hAnsi="Times New Roman" w:cs="Times New Roman"/>
                <w:b/>
                <w:color w:val="000000"/>
                <w:sz w:val="21"/>
                <w:szCs w:val="21"/>
              </w:rPr>
              <w:t>Variable</w:t>
            </w:r>
          </w:p>
        </w:tc>
        <w:tc>
          <w:tcPr>
            <w:tcW w:w="99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ind w:right="10"/>
              <w:jc w:val="right"/>
              <w:rPr>
                <w:rFonts w:ascii="Times New Roman" w:hAnsi="Times New Roman" w:cs="Times New Roman"/>
                <w:b/>
                <w:color w:val="000000"/>
                <w:sz w:val="21"/>
                <w:szCs w:val="21"/>
              </w:rPr>
            </w:pPr>
            <w:r w:rsidRPr="00022481">
              <w:rPr>
                <w:rFonts w:ascii="Times New Roman" w:hAnsi="Times New Roman" w:cs="Times New Roman"/>
                <w:b/>
                <w:color w:val="000000"/>
                <w:sz w:val="21"/>
                <w:szCs w:val="21"/>
              </w:rPr>
              <w:t>Coefficient</w:t>
            </w:r>
          </w:p>
        </w:tc>
        <w:tc>
          <w:tcPr>
            <w:tcW w:w="1207"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ind w:right="10"/>
              <w:jc w:val="right"/>
              <w:rPr>
                <w:rFonts w:ascii="Times New Roman" w:hAnsi="Times New Roman" w:cs="Times New Roman"/>
                <w:b/>
                <w:color w:val="000000"/>
                <w:sz w:val="21"/>
                <w:szCs w:val="21"/>
              </w:rPr>
            </w:pPr>
            <w:r w:rsidRPr="00022481">
              <w:rPr>
                <w:rFonts w:ascii="Times New Roman" w:hAnsi="Times New Roman" w:cs="Times New Roman"/>
                <w:b/>
                <w:color w:val="000000"/>
                <w:sz w:val="21"/>
                <w:szCs w:val="21"/>
              </w:rPr>
              <w:t>Std. Error</w:t>
            </w:r>
          </w:p>
        </w:tc>
        <w:tc>
          <w:tcPr>
            <w:tcW w:w="1208"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ind w:right="10"/>
              <w:jc w:val="right"/>
              <w:rPr>
                <w:rFonts w:ascii="Times New Roman" w:hAnsi="Times New Roman" w:cs="Times New Roman"/>
                <w:b/>
                <w:color w:val="000000"/>
                <w:sz w:val="21"/>
                <w:szCs w:val="21"/>
              </w:rPr>
            </w:pPr>
            <w:r w:rsidRPr="00022481">
              <w:rPr>
                <w:rFonts w:ascii="Times New Roman" w:hAnsi="Times New Roman" w:cs="Times New Roman"/>
                <w:b/>
                <w:color w:val="000000"/>
                <w:sz w:val="21"/>
                <w:szCs w:val="21"/>
              </w:rPr>
              <w:t>t-Statistic</w:t>
            </w:r>
          </w:p>
        </w:tc>
        <w:tc>
          <w:tcPr>
            <w:tcW w:w="997"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ind w:right="10"/>
              <w:jc w:val="right"/>
              <w:rPr>
                <w:rFonts w:ascii="Times New Roman" w:hAnsi="Times New Roman" w:cs="Times New Roman"/>
                <w:b/>
                <w:color w:val="000000"/>
                <w:sz w:val="21"/>
                <w:szCs w:val="21"/>
              </w:rPr>
            </w:pPr>
            <w:r w:rsidRPr="00022481">
              <w:rPr>
                <w:rFonts w:ascii="Times New Roman" w:hAnsi="Times New Roman" w:cs="Times New Roman"/>
                <w:b/>
                <w:color w:val="000000"/>
                <w:sz w:val="21"/>
                <w:szCs w:val="21"/>
              </w:rPr>
              <w:t>Prob.  </w:t>
            </w:r>
          </w:p>
        </w:tc>
      </w:tr>
      <w:tr w:rsidR="00EA05A1" w:rsidRPr="00022481" w:rsidTr="00022481">
        <w:trPr>
          <w:trHeight w:hRule="exact" w:val="90"/>
        </w:trPr>
        <w:tc>
          <w:tcPr>
            <w:tcW w:w="2130" w:type="dxa"/>
            <w:tcBorders>
              <w:top w:val="nil"/>
              <w:left w:val="nil"/>
              <w:bottom w:val="double" w:sz="6" w:space="2" w:color="auto"/>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990" w:type="dxa"/>
            <w:tcBorders>
              <w:top w:val="nil"/>
              <w:left w:val="nil"/>
              <w:bottom w:val="double" w:sz="6" w:space="2" w:color="auto"/>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1207" w:type="dxa"/>
            <w:tcBorders>
              <w:top w:val="nil"/>
              <w:left w:val="nil"/>
              <w:bottom w:val="double" w:sz="6" w:space="2" w:color="auto"/>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1208" w:type="dxa"/>
            <w:tcBorders>
              <w:top w:val="nil"/>
              <w:left w:val="nil"/>
              <w:bottom w:val="double" w:sz="6" w:space="2" w:color="auto"/>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997" w:type="dxa"/>
            <w:tcBorders>
              <w:top w:val="nil"/>
              <w:left w:val="nil"/>
              <w:bottom w:val="double" w:sz="6" w:space="2" w:color="auto"/>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r>
      <w:tr w:rsidR="00EA05A1" w:rsidRPr="00022481" w:rsidTr="00022481">
        <w:trPr>
          <w:trHeight w:hRule="exact" w:val="135"/>
        </w:trPr>
        <w:tc>
          <w:tcPr>
            <w:tcW w:w="213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99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1207"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1208"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997"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r>
      <w:tr w:rsidR="00EA05A1" w:rsidRPr="00022481" w:rsidTr="00022481">
        <w:trPr>
          <w:trHeight w:val="225"/>
        </w:trPr>
        <w:tc>
          <w:tcPr>
            <w:tcW w:w="213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r w:rsidRPr="00022481">
              <w:rPr>
                <w:rFonts w:ascii="Times New Roman" w:hAnsi="Times New Roman" w:cs="Times New Roman"/>
                <w:b/>
                <w:color w:val="000000"/>
                <w:sz w:val="21"/>
                <w:szCs w:val="21"/>
              </w:rPr>
              <w:t>Excess Market Return</w:t>
            </w:r>
          </w:p>
        </w:tc>
        <w:tc>
          <w:tcPr>
            <w:tcW w:w="99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0.831510</w:t>
            </w:r>
          </w:p>
        </w:tc>
        <w:tc>
          <w:tcPr>
            <w:tcW w:w="1207"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0.055234</w:t>
            </w:r>
          </w:p>
        </w:tc>
        <w:tc>
          <w:tcPr>
            <w:tcW w:w="1208"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15.05431</w:t>
            </w:r>
          </w:p>
        </w:tc>
        <w:tc>
          <w:tcPr>
            <w:tcW w:w="997" w:type="dxa"/>
            <w:tcBorders>
              <w:top w:val="nil"/>
              <w:left w:val="nil"/>
              <w:bottom w:val="nil"/>
              <w:right w:val="nil"/>
            </w:tcBorders>
            <w:vAlign w:val="bottom"/>
          </w:tcPr>
          <w:p w:rsidR="00EA05A1" w:rsidRPr="00022481" w:rsidRDefault="00454B34" w:rsidP="00D62170">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w:t>
            </w:r>
            <w:r w:rsidR="00EA05A1" w:rsidRPr="00022481">
              <w:rPr>
                <w:rFonts w:ascii="Times New Roman" w:hAnsi="Times New Roman" w:cs="Times New Roman"/>
                <w:color w:val="000000"/>
                <w:sz w:val="21"/>
                <w:szCs w:val="21"/>
              </w:rPr>
              <w:t>0</w:t>
            </w:r>
          </w:p>
        </w:tc>
      </w:tr>
      <w:tr w:rsidR="00EA05A1" w:rsidRPr="00022481" w:rsidTr="00022481">
        <w:trPr>
          <w:trHeight w:val="225"/>
        </w:trPr>
        <w:tc>
          <w:tcPr>
            <w:tcW w:w="213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r w:rsidRPr="00022481">
              <w:rPr>
                <w:rFonts w:ascii="Times New Roman" w:hAnsi="Times New Roman" w:cs="Times New Roman"/>
                <w:b/>
                <w:color w:val="000000"/>
                <w:sz w:val="21"/>
                <w:szCs w:val="21"/>
              </w:rPr>
              <w:t>Market Risk Premium</w:t>
            </w:r>
          </w:p>
        </w:tc>
        <w:tc>
          <w:tcPr>
            <w:tcW w:w="99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0.851051</w:t>
            </w:r>
          </w:p>
        </w:tc>
        <w:tc>
          <w:tcPr>
            <w:tcW w:w="1207"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0.011184</w:t>
            </w:r>
          </w:p>
        </w:tc>
        <w:tc>
          <w:tcPr>
            <w:tcW w:w="1208"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76.09867</w:t>
            </w:r>
          </w:p>
        </w:tc>
        <w:tc>
          <w:tcPr>
            <w:tcW w:w="997" w:type="dxa"/>
            <w:tcBorders>
              <w:top w:val="nil"/>
              <w:left w:val="nil"/>
              <w:bottom w:val="nil"/>
              <w:right w:val="nil"/>
            </w:tcBorders>
            <w:vAlign w:val="bottom"/>
          </w:tcPr>
          <w:p w:rsidR="00EA05A1" w:rsidRPr="00022481" w:rsidRDefault="00454B34" w:rsidP="00D62170">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w:t>
            </w:r>
            <w:r w:rsidR="00EA05A1" w:rsidRPr="00022481">
              <w:rPr>
                <w:rFonts w:ascii="Times New Roman" w:hAnsi="Times New Roman" w:cs="Times New Roman"/>
                <w:color w:val="000000"/>
                <w:sz w:val="21"/>
                <w:szCs w:val="21"/>
              </w:rPr>
              <w:t>0</w:t>
            </w:r>
          </w:p>
        </w:tc>
      </w:tr>
      <w:tr w:rsidR="00EA05A1" w:rsidRPr="00022481" w:rsidTr="00022481">
        <w:trPr>
          <w:trHeight w:hRule="exact" w:val="90"/>
        </w:trPr>
        <w:tc>
          <w:tcPr>
            <w:tcW w:w="2130" w:type="dxa"/>
            <w:tcBorders>
              <w:top w:val="nil"/>
              <w:left w:val="nil"/>
              <w:bottom w:val="double" w:sz="6" w:space="2" w:color="auto"/>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990" w:type="dxa"/>
            <w:tcBorders>
              <w:top w:val="nil"/>
              <w:left w:val="nil"/>
              <w:bottom w:val="double" w:sz="6" w:space="2" w:color="auto"/>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1207" w:type="dxa"/>
            <w:tcBorders>
              <w:top w:val="nil"/>
              <w:left w:val="nil"/>
              <w:bottom w:val="double" w:sz="6" w:space="2" w:color="auto"/>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1208" w:type="dxa"/>
            <w:tcBorders>
              <w:top w:val="nil"/>
              <w:left w:val="nil"/>
              <w:bottom w:val="double" w:sz="6" w:space="2" w:color="auto"/>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997" w:type="dxa"/>
            <w:tcBorders>
              <w:top w:val="nil"/>
              <w:left w:val="nil"/>
              <w:bottom w:val="double" w:sz="6" w:space="2" w:color="auto"/>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r>
      <w:tr w:rsidR="00EA05A1" w:rsidRPr="00022481" w:rsidTr="00022481">
        <w:trPr>
          <w:trHeight w:hRule="exact" w:val="135"/>
        </w:trPr>
        <w:tc>
          <w:tcPr>
            <w:tcW w:w="213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99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1207"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1208"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c>
          <w:tcPr>
            <w:tcW w:w="997"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jc w:val="center"/>
              <w:rPr>
                <w:rFonts w:ascii="Times New Roman" w:hAnsi="Times New Roman" w:cs="Times New Roman"/>
                <w:color w:val="000000"/>
                <w:sz w:val="21"/>
                <w:szCs w:val="21"/>
              </w:rPr>
            </w:pPr>
          </w:p>
        </w:tc>
      </w:tr>
      <w:tr w:rsidR="00EA05A1" w:rsidRPr="00022481" w:rsidTr="00022481">
        <w:trPr>
          <w:gridAfter w:val="3"/>
          <w:wAfter w:w="3412" w:type="dxa"/>
          <w:trHeight w:val="225"/>
        </w:trPr>
        <w:tc>
          <w:tcPr>
            <w:tcW w:w="213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rPr>
                <w:rFonts w:ascii="Times New Roman" w:hAnsi="Times New Roman" w:cs="Times New Roman"/>
                <w:color w:val="000000"/>
                <w:sz w:val="21"/>
                <w:szCs w:val="21"/>
              </w:rPr>
            </w:pPr>
            <w:r w:rsidRPr="00022481">
              <w:rPr>
                <w:rFonts w:ascii="Times New Roman" w:hAnsi="Times New Roman" w:cs="Times New Roman"/>
                <w:color w:val="000000"/>
                <w:sz w:val="21"/>
                <w:szCs w:val="21"/>
              </w:rPr>
              <w:t>R-squared</w:t>
            </w:r>
          </w:p>
        </w:tc>
        <w:tc>
          <w:tcPr>
            <w:tcW w:w="99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0.092672</w:t>
            </w:r>
          </w:p>
        </w:tc>
      </w:tr>
      <w:tr w:rsidR="00EA05A1" w:rsidRPr="00022481" w:rsidTr="00022481">
        <w:trPr>
          <w:gridAfter w:val="3"/>
          <w:wAfter w:w="3412" w:type="dxa"/>
          <w:trHeight w:val="225"/>
        </w:trPr>
        <w:tc>
          <w:tcPr>
            <w:tcW w:w="213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rPr>
                <w:rFonts w:ascii="Times New Roman" w:hAnsi="Times New Roman" w:cs="Times New Roman"/>
                <w:color w:val="000000"/>
                <w:sz w:val="21"/>
                <w:szCs w:val="21"/>
              </w:rPr>
            </w:pPr>
            <w:r w:rsidRPr="00022481">
              <w:rPr>
                <w:rFonts w:ascii="Times New Roman" w:hAnsi="Times New Roman" w:cs="Times New Roman"/>
                <w:color w:val="000000"/>
                <w:sz w:val="21"/>
                <w:szCs w:val="21"/>
              </w:rPr>
              <w:t>Adjusted R-squared</w:t>
            </w:r>
          </w:p>
        </w:tc>
        <w:tc>
          <w:tcPr>
            <w:tcW w:w="99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0.092656</w:t>
            </w:r>
          </w:p>
        </w:tc>
      </w:tr>
      <w:tr w:rsidR="00EA05A1" w:rsidRPr="00022481" w:rsidTr="00022481">
        <w:trPr>
          <w:gridAfter w:val="3"/>
          <w:wAfter w:w="3412" w:type="dxa"/>
          <w:trHeight w:val="225"/>
        </w:trPr>
        <w:tc>
          <w:tcPr>
            <w:tcW w:w="213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rPr>
                <w:rFonts w:ascii="Times New Roman" w:hAnsi="Times New Roman" w:cs="Times New Roman"/>
                <w:color w:val="000000"/>
                <w:sz w:val="21"/>
                <w:szCs w:val="21"/>
              </w:rPr>
            </w:pPr>
            <w:r w:rsidRPr="00022481">
              <w:rPr>
                <w:rFonts w:ascii="Times New Roman" w:hAnsi="Times New Roman" w:cs="Times New Roman"/>
                <w:color w:val="000000"/>
                <w:sz w:val="21"/>
                <w:szCs w:val="21"/>
              </w:rPr>
              <w:t>F-statistic</w:t>
            </w:r>
          </w:p>
        </w:tc>
        <w:tc>
          <w:tcPr>
            <w:tcW w:w="99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5791.007</w:t>
            </w:r>
          </w:p>
        </w:tc>
      </w:tr>
      <w:tr w:rsidR="00EA05A1" w:rsidRPr="00022481" w:rsidTr="00022481">
        <w:trPr>
          <w:gridAfter w:val="3"/>
          <w:wAfter w:w="3412" w:type="dxa"/>
          <w:trHeight w:val="225"/>
        </w:trPr>
        <w:tc>
          <w:tcPr>
            <w:tcW w:w="213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rPr>
                <w:rFonts w:ascii="Times New Roman" w:hAnsi="Times New Roman" w:cs="Times New Roman"/>
                <w:color w:val="000000"/>
                <w:sz w:val="21"/>
                <w:szCs w:val="21"/>
              </w:rPr>
            </w:pPr>
            <w:r w:rsidRPr="00022481">
              <w:rPr>
                <w:rFonts w:ascii="Times New Roman" w:hAnsi="Times New Roman" w:cs="Times New Roman"/>
                <w:color w:val="000000"/>
                <w:sz w:val="21"/>
                <w:szCs w:val="21"/>
              </w:rPr>
              <w:t>Prob(F-statistic)</w:t>
            </w:r>
          </w:p>
        </w:tc>
        <w:tc>
          <w:tcPr>
            <w:tcW w:w="990" w:type="dxa"/>
            <w:tcBorders>
              <w:top w:val="nil"/>
              <w:left w:val="nil"/>
              <w:bottom w:val="nil"/>
              <w:right w:val="nil"/>
            </w:tcBorders>
            <w:vAlign w:val="bottom"/>
          </w:tcPr>
          <w:p w:rsidR="00EA05A1" w:rsidRPr="00022481" w:rsidRDefault="00EA05A1" w:rsidP="00D62170">
            <w:pPr>
              <w:autoSpaceDE w:val="0"/>
              <w:autoSpaceDN w:val="0"/>
              <w:adjustRightInd w:val="0"/>
              <w:spacing w:after="0" w:line="240" w:lineRule="auto"/>
              <w:ind w:right="10"/>
              <w:jc w:val="right"/>
              <w:rPr>
                <w:rFonts w:ascii="Times New Roman" w:hAnsi="Times New Roman" w:cs="Times New Roman"/>
                <w:color w:val="000000"/>
                <w:sz w:val="21"/>
                <w:szCs w:val="21"/>
              </w:rPr>
            </w:pPr>
            <w:r w:rsidRPr="00022481">
              <w:rPr>
                <w:rFonts w:ascii="Times New Roman" w:hAnsi="Times New Roman" w:cs="Times New Roman"/>
                <w:color w:val="000000"/>
                <w:sz w:val="21"/>
                <w:szCs w:val="21"/>
              </w:rPr>
              <w:t>0.000000</w:t>
            </w:r>
          </w:p>
        </w:tc>
      </w:tr>
    </w:tbl>
    <w:p w:rsidR="004618A4" w:rsidRDefault="004618A4" w:rsidP="004618A4">
      <w:pPr>
        <w:spacing w:after="0"/>
        <w:rPr>
          <w:rFonts w:ascii="Times New Roman" w:hAnsi="Times New Roman" w:cs="Times New Roman"/>
          <w:b/>
          <w:szCs w:val="24"/>
        </w:rPr>
      </w:pPr>
    </w:p>
    <w:p w:rsidR="004618A4" w:rsidRDefault="004618A4" w:rsidP="004618A4">
      <w:pPr>
        <w:spacing w:after="0"/>
        <w:rPr>
          <w:rFonts w:ascii="Times New Roman" w:hAnsi="Times New Roman" w:cs="Times New Roman"/>
          <w:b/>
          <w:szCs w:val="24"/>
        </w:rPr>
      </w:pPr>
    </w:p>
    <w:p w:rsidR="00A5435C" w:rsidRDefault="00A5435C" w:rsidP="00A5435C">
      <w:pPr>
        <w:spacing w:after="0" w:line="480" w:lineRule="auto"/>
        <w:jc w:val="both"/>
        <w:rPr>
          <w:rFonts w:ascii="Times New Roman" w:hAnsi="Times New Roman" w:cs="Times New Roman"/>
          <w:sz w:val="24"/>
          <w:szCs w:val="24"/>
        </w:rPr>
      </w:pPr>
      <w:r w:rsidRPr="008F4C31">
        <w:rPr>
          <w:rFonts w:ascii="Times New Roman" w:hAnsi="Times New Roman" w:cs="Times New Roman"/>
          <w:sz w:val="24"/>
          <w:szCs w:val="24"/>
        </w:rPr>
        <w:t>The</w:t>
      </w:r>
      <w:r>
        <w:rPr>
          <w:rFonts w:ascii="Times New Roman" w:hAnsi="Times New Roman" w:cs="Times New Roman"/>
          <w:sz w:val="24"/>
          <w:szCs w:val="24"/>
        </w:rPr>
        <w:t xml:space="preserve"> table 9 shows the results of relative performance of </w:t>
      </w:r>
      <w:r w:rsidR="005E0FB4">
        <w:rPr>
          <w:rFonts w:ascii="Times New Roman" w:hAnsi="Times New Roman" w:cs="Times New Roman"/>
          <w:sz w:val="24"/>
          <w:szCs w:val="24"/>
        </w:rPr>
        <w:t xml:space="preserve">overall </w:t>
      </w:r>
      <w:r>
        <w:rPr>
          <w:rFonts w:ascii="Times New Roman" w:hAnsi="Times New Roman" w:cs="Times New Roman"/>
          <w:sz w:val="24"/>
          <w:szCs w:val="24"/>
        </w:rPr>
        <w:t>futures listed stocks</w:t>
      </w:r>
      <w:r w:rsidR="00F567AD">
        <w:rPr>
          <w:rFonts w:ascii="Times New Roman" w:hAnsi="Times New Roman" w:cs="Times New Roman"/>
          <w:sz w:val="24"/>
          <w:szCs w:val="24"/>
        </w:rPr>
        <w:t xml:space="preserve"> and non-futures listed stocks</w:t>
      </w:r>
      <w:r>
        <w:rPr>
          <w:rFonts w:ascii="Times New Roman" w:hAnsi="Times New Roman" w:cs="Times New Roman"/>
          <w:sz w:val="24"/>
          <w:szCs w:val="24"/>
        </w:rPr>
        <w:t xml:space="preserve">. Here, Excess Market Return is the dependent variable and αi and </w:t>
      </w:r>
      <w:r w:rsidRPr="00526F4F">
        <w:rPr>
          <w:rFonts w:ascii="Times New Roman" w:hAnsi="Times New Roman" w:cs="Times New Roman"/>
          <w:sz w:val="24"/>
          <w:szCs w:val="24"/>
        </w:rPr>
        <w:t>β</w:t>
      </w:r>
      <w:r>
        <w:rPr>
          <w:rFonts w:ascii="Times New Roman" w:hAnsi="Times New Roman" w:cs="Times New Roman"/>
          <w:sz w:val="24"/>
          <w:szCs w:val="24"/>
        </w:rPr>
        <w:t xml:space="preserve">i are independent variables in this model. Alpha measures the active returns on an investment in futures listed stocks. The negative sign of alpha depicts that the investment has been unable to beat the market. The co-efficient of alpha is -0.113916, which shows that the futures listed stocks are generating negative but significant returns overall, and have been failed to generate better returns relative to the market. However, the co-efficient of </w:t>
      </w:r>
      <w:r w:rsidRPr="00526F4F">
        <w:rPr>
          <w:rFonts w:ascii="Times New Roman" w:hAnsi="Times New Roman" w:cs="Times New Roman"/>
          <w:sz w:val="24"/>
          <w:szCs w:val="24"/>
        </w:rPr>
        <w:t>β</w:t>
      </w:r>
      <w:r>
        <w:rPr>
          <w:rFonts w:ascii="Times New Roman" w:hAnsi="Times New Roman" w:cs="Times New Roman"/>
          <w:sz w:val="24"/>
          <w:szCs w:val="24"/>
        </w:rPr>
        <w:t xml:space="preserve">i is </w:t>
      </w:r>
      <w:r w:rsidRPr="007C79A0">
        <w:rPr>
          <w:rFonts w:ascii="Times New Roman" w:hAnsi="Times New Roman" w:cs="Times New Roman"/>
          <w:sz w:val="24"/>
          <w:szCs w:val="24"/>
        </w:rPr>
        <w:t>1.101659</w:t>
      </w:r>
      <w:r>
        <w:rPr>
          <w:rFonts w:ascii="Times New Roman" w:hAnsi="Times New Roman" w:cs="Times New Roman"/>
          <w:sz w:val="24"/>
          <w:szCs w:val="24"/>
        </w:rPr>
        <w:t xml:space="preserve">, which shows that the futures listed stocks has higher market risk. </w:t>
      </w:r>
    </w:p>
    <w:p w:rsidR="00F258C7" w:rsidRDefault="005E0FB4" w:rsidP="007437D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1A2AB4">
        <w:rPr>
          <w:rFonts w:ascii="Times New Roman" w:hAnsi="Times New Roman" w:cs="Times New Roman"/>
          <w:sz w:val="24"/>
          <w:szCs w:val="24"/>
        </w:rPr>
        <w:t>second half of table 9</w:t>
      </w:r>
      <w:r w:rsidR="00F258C7">
        <w:rPr>
          <w:rFonts w:ascii="Times New Roman" w:hAnsi="Times New Roman" w:cs="Times New Roman"/>
          <w:sz w:val="24"/>
          <w:szCs w:val="24"/>
        </w:rPr>
        <w:t xml:space="preserve"> reveals the results of relative performance of overall non-futures listed stocks. From the table, we can see that the alpha returns of non-futures listed stocks is positive </w:t>
      </w:r>
      <w:r w:rsidR="00F258C7">
        <w:rPr>
          <w:rFonts w:ascii="Times New Roman" w:hAnsi="Times New Roman" w:cs="Times New Roman"/>
          <w:sz w:val="24"/>
          <w:szCs w:val="24"/>
        </w:rPr>
        <w:lastRenderedPageBreak/>
        <w:t xml:space="preserve">and significant with a co-efficient of 0.831510, which signifies that this portfolio was able to beat the market. However, the beta co-efficient came out to be 0.851051. </w:t>
      </w:r>
    </w:p>
    <w:p w:rsidR="00F55998" w:rsidRDefault="0064716C" w:rsidP="003B3B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Afterwards, relative performance of both portfolios was assessed over the eleven periods. </w:t>
      </w:r>
      <w:r w:rsidR="00D2483D">
        <w:rPr>
          <w:rFonts w:ascii="Times New Roman" w:hAnsi="Times New Roman" w:cs="Times New Roman"/>
          <w:sz w:val="24"/>
          <w:szCs w:val="24"/>
        </w:rPr>
        <w:t>The r</w:t>
      </w:r>
      <w:r w:rsidR="001A2AB4">
        <w:rPr>
          <w:rFonts w:ascii="Times New Roman" w:hAnsi="Times New Roman" w:cs="Times New Roman"/>
          <w:sz w:val="24"/>
          <w:szCs w:val="24"/>
        </w:rPr>
        <w:t>esults are displayed in table 10</w:t>
      </w:r>
      <w:r w:rsidR="00700152">
        <w:rPr>
          <w:rFonts w:ascii="Times New Roman" w:hAnsi="Times New Roman" w:cs="Times New Roman"/>
          <w:sz w:val="24"/>
          <w:szCs w:val="24"/>
        </w:rPr>
        <w:t>below</w:t>
      </w:r>
      <w:r w:rsidR="00D2483D">
        <w:rPr>
          <w:rFonts w:ascii="Times New Roman" w:hAnsi="Times New Roman" w:cs="Times New Roman"/>
          <w:sz w:val="24"/>
          <w:szCs w:val="24"/>
        </w:rPr>
        <w:t>.</w:t>
      </w:r>
    </w:p>
    <w:p w:rsidR="00A5435C" w:rsidRDefault="00A5435C" w:rsidP="007437DC">
      <w:pPr>
        <w:spacing w:after="0"/>
        <w:jc w:val="both"/>
        <w:rPr>
          <w:rFonts w:ascii="Times New Roman" w:hAnsi="Times New Roman" w:cs="Times New Roman"/>
          <w:b/>
          <w:szCs w:val="24"/>
        </w:rPr>
      </w:pPr>
    </w:p>
    <w:p w:rsidR="001B46AF" w:rsidRPr="002E15C6" w:rsidRDefault="001A2AB4" w:rsidP="007437DC">
      <w:pPr>
        <w:spacing w:after="0"/>
        <w:jc w:val="both"/>
        <w:rPr>
          <w:rFonts w:ascii="Times New Roman" w:hAnsi="Times New Roman" w:cs="Times New Roman"/>
          <w:b/>
          <w:sz w:val="24"/>
          <w:szCs w:val="24"/>
        </w:rPr>
      </w:pPr>
      <w:r>
        <w:rPr>
          <w:rFonts w:ascii="Times New Roman" w:hAnsi="Times New Roman" w:cs="Times New Roman"/>
          <w:b/>
          <w:sz w:val="24"/>
          <w:szCs w:val="24"/>
        </w:rPr>
        <w:t>Table 10</w:t>
      </w:r>
      <w:r w:rsidR="000F406E" w:rsidRPr="002E15C6">
        <w:rPr>
          <w:rFonts w:ascii="Times New Roman" w:hAnsi="Times New Roman" w:cs="Times New Roman"/>
          <w:b/>
          <w:sz w:val="24"/>
          <w:szCs w:val="24"/>
        </w:rPr>
        <w:t>: Relative Performance of Futures Listed Stocks and Non-Futures Listed Stocks</w:t>
      </w:r>
    </w:p>
    <w:p w:rsidR="001B46AF" w:rsidRPr="008D3818" w:rsidRDefault="001B46AF" w:rsidP="008D3818">
      <w:pPr>
        <w:spacing w:after="0"/>
        <w:rPr>
          <w:rFonts w:ascii="Times New Roman" w:hAnsi="Times New Roman" w:cs="Times New Roman"/>
          <w:szCs w:val="24"/>
        </w:rPr>
      </w:pPr>
    </w:p>
    <w:tbl>
      <w:tblPr>
        <w:tblStyle w:val="TableGrid"/>
        <w:tblW w:w="9805" w:type="dxa"/>
        <w:tblLook w:val="04A0"/>
      </w:tblPr>
      <w:tblGrid>
        <w:gridCol w:w="2086"/>
        <w:gridCol w:w="1239"/>
        <w:gridCol w:w="1188"/>
        <w:gridCol w:w="1260"/>
        <w:gridCol w:w="1188"/>
        <w:gridCol w:w="1577"/>
        <w:gridCol w:w="1267"/>
      </w:tblGrid>
      <w:tr w:rsidR="00FB5074" w:rsidRPr="00D01C63" w:rsidTr="00E50AB1">
        <w:trPr>
          <w:trHeight w:val="422"/>
        </w:trPr>
        <w:tc>
          <w:tcPr>
            <w:tcW w:w="2086" w:type="dxa"/>
            <w:noWrap/>
            <w:hideMark/>
          </w:tcPr>
          <w:p w:rsidR="00D01C63" w:rsidRPr="000F406E" w:rsidRDefault="00D01C63" w:rsidP="000F406E">
            <w:pPr>
              <w:jc w:val="center"/>
              <w:rPr>
                <w:rFonts w:ascii="Times New Roman" w:hAnsi="Times New Roman" w:cs="Times New Roman"/>
                <w:b/>
                <w:bCs/>
                <w:sz w:val="24"/>
                <w:szCs w:val="24"/>
              </w:rPr>
            </w:pPr>
            <w:r w:rsidRPr="000F406E">
              <w:rPr>
                <w:rFonts w:ascii="Times New Roman" w:hAnsi="Times New Roman" w:cs="Times New Roman"/>
                <w:b/>
                <w:bCs/>
                <w:sz w:val="24"/>
                <w:szCs w:val="24"/>
              </w:rPr>
              <w:t>Period</w:t>
            </w:r>
          </w:p>
        </w:tc>
        <w:tc>
          <w:tcPr>
            <w:tcW w:w="1239" w:type="dxa"/>
            <w:noWrap/>
            <w:hideMark/>
          </w:tcPr>
          <w:p w:rsidR="00D01C63" w:rsidRPr="000F406E" w:rsidRDefault="00D01C63" w:rsidP="000F406E">
            <w:pPr>
              <w:jc w:val="center"/>
              <w:rPr>
                <w:rFonts w:ascii="Times New Roman" w:hAnsi="Times New Roman" w:cs="Times New Roman"/>
                <w:b/>
                <w:bCs/>
                <w:sz w:val="24"/>
                <w:szCs w:val="24"/>
              </w:rPr>
            </w:pPr>
            <w:r w:rsidRPr="000F406E">
              <w:rPr>
                <w:rFonts w:ascii="Times New Roman" w:hAnsi="Times New Roman" w:cs="Times New Roman"/>
                <w:b/>
                <w:bCs/>
                <w:sz w:val="24"/>
                <w:szCs w:val="24"/>
              </w:rPr>
              <w:t>α</w:t>
            </w:r>
            <w:r w:rsidRPr="000F406E">
              <w:rPr>
                <w:rFonts w:ascii="Times New Roman" w:hAnsi="Times New Roman" w:cs="Times New Roman"/>
                <w:b/>
                <w:bCs/>
                <w:sz w:val="24"/>
                <w:szCs w:val="24"/>
                <w:vertAlign w:val="subscript"/>
              </w:rPr>
              <w:t>i</w:t>
            </w:r>
          </w:p>
        </w:tc>
        <w:tc>
          <w:tcPr>
            <w:tcW w:w="1188" w:type="dxa"/>
            <w:noWrap/>
            <w:hideMark/>
          </w:tcPr>
          <w:p w:rsidR="00D01C63" w:rsidRPr="000F406E" w:rsidRDefault="00D01C63" w:rsidP="000F406E">
            <w:pPr>
              <w:jc w:val="center"/>
              <w:rPr>
                <w:rFonts w:ascii="Times New Roman" w:hAnsi="Times New Roman" w:cs="Times New Roman"/>
                <w:b/>
                <w:bCs/>
                <w:sz w:val="24"/>
                <w:szCs w:val="24"/>
              </w:rPr>
            </w:pPr>
          </w:p>
        </w:tc>
        <w:tc>
          <w:tcPr>
            <w:tcW w:w="1260" w:type="dxa"/>
            <w:noWrap/>
            <w:hideMark/>
          </w:tcPr>
          <w:p w:rsidR="00D01C63" w:rsidRPr="000F406E" w:rsidRDefault="00D01C63" w:rsidP="000F406E">
            <w:pPr>
              <w:jc w:val="center"/>
              <w:rPr>
                <w:rFonts w:ascii="Times New Roman" w:hAnsi="Times New Roman" w:cs="Times New Roman"/>
                <w:b/>
                <w:bCs/>
                <w:sz w:val="24"/>
                <w:szCs w:val="24"/>
              </w:rPr>
            </w:pPr>
            <w:r w:rsidRPr="000F406E">
              <w:rPr>
                <w:rFonts w:ascii="Times New Roman" w:hAnsi="Times New Roman" w:cs="Times New Roman"/>
                <w:b/>
                <w:bCs/>
                <w:sz w:val="24"/>
                <w:szCs w:val="24"/>
              </w:rPr>
              <w:t>β</w:t>
            </w:r>
            <w:r w:rsidRPr="000F406E">
              <w:rPr>
                <w:rFonts w:ascii="Times New Roman" w:hAnsi="Times New Roman" w:cs="Times New Roman"/>
                <w:b/>
                <w:bCs/>
                <w:sz w:val="24"/>
                <w:szCs w:val="24"/>
                <w:vertAlign w:val="subscript"/>
              </w:rPr>
              <w:t>i</w:t>
            </w:r>
          </w:p>
        </w:tc>
        <w:tc>
          <w:tcPr>
            <w:tcW w:w="1188" w:type="dxa"/>
            <w:noWrap/>
            <w:hideMark/>
          </w:tcPr>
          <w:p w:rsidR="00D01C63" w:rsidRPr="000F406E" w:rsidRDefault="00D01C63" w:rsidP="000F406E">
            <w:pPr>
              <w:jc w:val="center"/>
              <w:rPr>
                <w:rFonts w:ascii="Times New Roman" w:hAnsi="Times New Roman" w:cs="Times New Roman"/>
                <w:sz w:val="24"/>
                <w:szCs w:val="24"/>
              </w:rPr>
            </w:pPr>
          </w:p>
        </w:tc>
        <w:tc>
          <w:tcPr>
            <w:tcW w:w="1577" w:type="dxa"/>
            <w:noWrap/>
            <w:hideMark/>
          </w:tcPr>
          <w:p w:rsidR="00D01C63" w:rsidRPr="000F406E" w:rsidRDefault="00D01C63" w:rsidP="000F406E">
            <w:pPr>
              <w:jc w:val="center"/>
              <w:rPr>
                <w:rFonts w:ascii="Times New Roman" w:hAnsi="Times New Roman" w:cs="Times New Roman"/>
                <w:b/>
                <w:bCs/>
                <w:sz w:val="24"/>
                <w:szCs w:val="24"/>
              </w:rPr>
            </w:pPr>
            <w:r w:rsidRPr="000F406E">
              <w:rPr>
                <w:rFonts w:ascii="Times New Roman" w:hAnsi="Times New Roman" w:cs="Times New Roman"/>
                <w:b/>
                <w:bCs/>
                <w:sz w:val="24"/>
                <w:szCs w:val="24"/>
              </w:rPr>
              <w:t>Observations</w:t>
            </w:r>
          </w:p>
        </w:tc>
        <w:tc>
          <w:tcPr>
            <w:tcW w:w="1267" w:type="dxa"/>
            <w:noWrap/>
            <w:hideMark/>
          </w:tcPr>
          <w:p w:rsidR="00D01C63" w:rsidRPr="000F406E" w:rsidRDefault="00D01C63" w:rsidP="000F406E">
            <w:pPr>
              <w:jc w:val="center"/>
              <w:rPr>
                <w:rFonts w:ascii="Times New Roman" w:hAnsi="Times New Roman" w:cs="Times New Roman"/>
                <w:b/>
                <w:bCs/>
                <w:sz w:val="24"/>
                <w:szCs w:val="24"/>
              </w:rPr>
            </w:pPr>
            <w:r w:rsidRPr="000F406E">
              <w:rPr>
                <w:rFonts w:ascii="Times New Roman" w:hAnsi="Times New Roman" w:cs="Times New Roman"/>
                <w:b/>
                <w:bCs/>
                <w:sz w:val="24"/>
                <w:szCs w:val="24"/>
              </w:rPr>
              <w:t>R-squared</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13H1</w:t>
            </w:r>
            <w:r w:rsidRPr="003A0F6F">
              <w:rPr>
                <w:rFonts w:ascii="Times New Roman" w:eastAsia="Times New Roman" w:hAnsi="Times New Roman" w:cs="Times New Roman"/>
                <w:b/>
                <w:bCs/>
                <w:color w:val="000000"/>
                <w:sz w:val="20"/>
                <w:szCs w:val="20"/>
              </w:rPr>
              <w:t>_Portfolio_FL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-0.52537</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(0.0373)**</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1.027088</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(0.0075)**</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39150</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0.3212</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13H1</w:t>
            </w:r>
            <w:r w:rsidRPr="003A0F6F">
              <w:rPr>
                <w:rFonts w:ascii="Times New Roman" w:eastAsia="Times New Roman" w:hAnsi="Times New Roman" w:cs="Times New Roman"/>
                <w:b/>
                <w:bCs/>
                <w:color w:val="000000"/>
                <w:sz w:val="20"/>
                <w:szCs w:val="20"/>
              </w:rPr>
              <w:t>_Portfolio_NFL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0.789393</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(0.0470)**</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0.955324</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(0.0095)**</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77079</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0.1154</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13H2</w:t>
            </w:r>
            <w:r w:rsidRPr="003A0F6F">
              <w:rPr>
                <w:rFonts w:ascii="Times New Roman" w:eastAsia="Times New Roman" w:hAnsi="Times New Roman" w:cs="Times New Roman"/>
                <w:b/>
                <w:bCs/>
                <w:color w:val="000000"/>
                <w:sz w:val="20"/>
                <w:szCs w:val="20"/>
              </w:rPr>
              <w:t>_Portfolio_FL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-0.4681</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(0.0391)**</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1.080672</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(0.0079)**</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39150</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0.3227</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13H2</w:t>
            </w:r>
            <w:r w:rsidRPr="003A0F6F">
              <w:rPr>
                <w:rFonts w:ascii="Times New Roman" w:eastAsia="Times New Roman" w:hAnsi="Times New Roman" w:cs="Times New Roman"/>
                <w:b/>
                <w:bCs/>
                <w:color w:val="000000"/>
                <w:sz w:val="20"/>
                <w:szCs w:val="20"/>
              </w:rPr>
              <w:t>_Portfolio_NFL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0.759761</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(0.0466)**</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0.928042</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(0.0095)**</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77079</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0.1112</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14H1</w:t>
            </w:r>
            <w:r w:rsidRPr="003A0F6F">
              <w:rPr>
                <w:rFonts w:ascii="Times New Roman" w:eastAsia="Times New Roman" w:hAnsi="Times New Roman" w:cs="Times New Roman"/>
                <w:b/>
                <w:bCs/>
                <w:color w:val="000000"/>
                <w:sz w:val="20"/>
                <w:szCs w:val="20"/>
              </w:rPr>
              <w:t>_Portfolio_FL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-0.40084</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(0.0372)**</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1.084564</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(0.0075)**</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44370</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0.3184</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14H1</w:t>
            </w:r>
            <w:r w:rsidRPr="003A0F6F">
              <w:rPr>
                <w:rFonts w:ascii="Times New Roman" w:eastAsia="Times New Roman" w:hAnsi="Times New Roman" w:cs="Times New Roman"/>
                <w:b/>
                <w:bCs/>
                <w:color w:val="000000"/>
                <w:sz w:val="20"/>
                <w:szCs w:val="20"/>
              </w:rPr>
              <w:t>_Portfolio_NFL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0.80707</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(0.0492)**</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0.91458</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(0.0100)**</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71859</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0.1046</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14H2</w:t>
            </w:r>
            <w:r w:rsidRPr="003A0F6F">
              <w:rPr>
                <w:rFonts w:ascii="Times New Roman" w:eastAsia="Times New Roman" w:hAnsi="Times New Roman" w:cs="Times New Roman"/>
                <w:b/>
                <w:bCs/>
                <w:color w:val="000000"/>
                <w:sz w:val="20"/>
                <w:szCs w:val="20"/>
              </w:rPr>
              <w:t>_Portfolio_FL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-0.3426</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(0.0393)**</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1.135943</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(0.0080)**</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43065</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0.3215</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14H2</w:t>
            </w:r>
            <w:r w:rsidRPr="003A0F6F">
              <w:rPr>
                <w:rFonts w:ascii="Times New Roman" w:eastAsia="Times New Roman" w:hAnsi="Times New Roman" w:cs="Times New Roman"/>
                <w:b/>
                <w:bCs/>
                <w:color w:val="000000"/>
                <w:sz w:val="20"/>
                <w:szCs w:val="20"/>
              </w:rPr>
              <w:t>_Portfolio_NFL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0.750704</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(0.0481)**</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0.887273</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(0.0097)**</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73164</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0.1017</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15H1</w:t>
            </w:r>
            <w:r w:rsidRPr="003A0F6F">
              <w:rPr>
                <w:rFonts w:ascii="Times New Roman" w:eastAsia="Times New Roman" w:hAnsi="Times New Roman" w:cs="Times New Roman"/>
                <w:b/>
                <w:bCs/>
                <w:color w:val="000000"/>
                <w:sz w:val="20"/>
                <w:szCs w:val="20"/>
              </w:rPr>
              <w:t>_Portfolio_FL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-0.25528</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(0.0405)**</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1.123476</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(0.0082)**</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41501</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0.3109</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15H1</w:t>
            </w:r>
            <w:r w:rsidRPr="003A0F6F">
              <w:rPr>
                <w:rFonts w:ascii="Times New Roman" w:eastAsia="Times New Roman" w:hAnsi="Times New Roman" w:cs="Times New Roman"/>
                <w:b/>
                <w:bCs/>
                <w:color w:val="000000"/>
                <w:sz w:val="20"/>
                <w:szCs w:val="20"/>
              </w:rPr>
              <w:t>_Portfolio_NFL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0.681271</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(0.0472)**</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0.899289</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(0.0096)**</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74728</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0.1059</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15H2</w:t>
            </w:r>
            <w:r w:rsidRPr="003A0F6F">
              <w:rPr>
                <w:rFonts w:ascii="Times New Roman" w:eastAsia="Times New Roman" w:hAnsi="Times New Roman" w:cs="Times New Roman"/>
                <w:b/>
                <w:bCs/>
                <w:color w:val="000000"/>
                <w:sz w:val="20"/>
                <w:szCs w:val="20"/>
              </w:rPr>
              <w:t>_Portfolio_FL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-0.33304</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(0.0415)**</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1.109057</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(0.0084)**</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42806</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0.2884</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15H2</w:t>
            </w:r>
            <w:r w:rsidRPr="003A0F6F">
              <w:rPr>
                <w:rFonts w:ascii="Times New Roman" w:eastAsia="Times New Roman" w:hAnsi="Times New Roman" w:cs="Times New Roman"/>
                <w:b/>
                <w:bCs/>
                <w:color w:val="000000"/>
                <w:sz w:val="20"/>
                <w:szCs w:val="20"/>
              </w:rPr>
              <w:t>_Portfolio_NFL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0.743213</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(0.0474)**</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0.903719</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(0.0096)**</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73423</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0.1078</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16H1</w:t>
            </w:r>
            <w:r w:rsidRPr="003A0F6F">
              <w:rPr>
                <w:rFonts w:ascii="Times New Roman" w:eastAsia="Times New Roman" w:hAnsi="Times New Roman" w:cs="Times New Roman"/>
                <w:b/>
                <w:bCs/>
                <w:color w:val="000000"/>
                <w:sz w:val="20"/>
                <w:szCs w:val="20"/>
              </w:rPr>
              <w:t>_Portfolio_FL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-0.10754</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(0.0445)*</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1.147303</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(0.0090)**</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42806</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0.2745</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16H1</w:t>
            </w:r>
            <w:r w:rsidRPr="003A0F6F">
              <w:rPr>
                <w:rFonts w:ascii="Times New Roman" w:eastAsia="Times New Roman" w:hAnsi="Times New Roman" w:cs="Times New Roman"/>
                <w:b/>
                <w:bCs/>
                <w:color w:val="000000"/>
                <w:sz w:val="20"/>
                <w:szCs w:val="20"/>
              </w:rPr>
              <w:t>_Portfolio_NFL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0.611643</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(0.0464)**</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0.881424</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(0.0094)**</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73423</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0.1068</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16H2</w:t>
            </w:r>
            <w:r w:rsidRPr="003A0F6F">
              <w:rPr>
                <w:rFonts w:ascii="Times New Roman" w:eastAsia="Times New Roman" w:hAnsi="Times New Roman" w:cs="Times New Roman"/>
                <w:b/>
                <w:bCs/>
                <w:color w:val="000000"/>
                <w:sz w:val="20"/>
                <w:szCs w:val="20"/>
              </w:rPr>
              <w:t>_Portfolio_FL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-0.29284</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(0.0413)**</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1.099888</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(0.0084)**</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45416</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0.2758</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16H2</w:t>
            </w:r>
            <w:r w:rsidRPr="003A0F6F">
              <w:rPr>
                <w:rFonts w:ascii="Times New Roman" w:eastAsia="Times New Roman" w:hAnsi="Times New Roman" w:cs="Times New Roman"/>
                <w:b/>
                <w:bCs/>
                <w:color w:val="000000"/>
                <w:sz w:val="20"/>
                <w:szCs w:val="20"/>
              </w:rPr>
              <w:t>_Portfolio_NFL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0.756989</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(0.0484)**</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0.902044</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(0.0098)**</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70813</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0.1068</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17H1</w:t>
            </w:r>
            <w:r w:rsidRPr="003A0F6F">
              <w:rPr>
                <w:rFonts w:ascii="Times New Roman" w:eastAsia="Times New Roman" w:hAnsi="Times New Roman" w:cs="Times New Roman"/>
                <w:b/>
                <w:bCs/>
                <w:color w:val="000000"/>
                <w:sz w:val="20"/>
                <w:szCs w:val="20"/>
              </w:rPr>
              <w:t>_Portfolio_FL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-0.31337</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(0.0439)**</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1.125005</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(0.0089)**</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36281</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0.3057</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17H1</w:t>
            </w:r>
            <w:r w:rsidRPr="003A0F6F">
              <w:rPr>
                <w:rFonts w:ascii="Times New Roman" w:eastAsia="Times New Roman" w:hAnsi="Times New Roman" w:cs="Times New Roman"/>
                <w:b/>
                <w:bCs/>
                <w:color w:val="000000"/>
                <w:sz w:val="20"/>
                <w:szCs w:val="20"/>
              </w:rPr>
              <w:t>_Portfolio_NFL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0.646738</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(0.0446)**</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0.913202</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(0.0090)**</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79948</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0.1132</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17H2</w:t>
            </w:r>
            <w:r w:rsidRPr="003A0F6F">
              <w:rPr>
                <w:rFonts w:ascii="Times New Roman" w:eastAsia="Times New Roman" w:hAnsi="Times New Roman" w:cs="Times New Roman"/>
                <w:b/>
                <w:bCs/>
                <w:color w:val="000000"/>
                <w:sz w:val="20"/>
                <w:szCs w:val="20"/>
              </w:rPr>
              <w:t>_Portfolio_FL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-0.34598</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(0.0456)**</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1.152851</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(0.0092)**</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34976</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0.3079</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17H2</w:t>
            </w:r>
            <w:r w:rsidRPr="003A0F6F">
              <w:rPr>
                <w:rFonts w:ascii="Times New Roman" w:eastAsia="Times New Roman" w:hAnsi="Times New Roman" w:cs="Times New Roman"/>
                <w:b/>
                <w:bCs/>
                <w:color w:val="000000"/>
                <w:sz w:val="20"/>
                <w:szCs w:val="20"/>
              </w:rPr>
              <w:t>_Portfolio_NFL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0.645389</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(0.0439)**</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0.904628</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(0.0089)**</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81253</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0.1131</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18H1</w:t>
            </w:r>
            <w:r w:rsidRPr="003A0F6F">
              <w:rPr>
                <w:rFonts w:ascii="Times New Roman" w:eastAsia="Times New Roman" w:hAnsi="Times New Roman" w:cs="Times New Roman"/>
                <w:b/>
                <w:bCs/>
                <w:color w:val="000000"/>
                <w:sz w:val="20"/>
                <w:szCs w:val="20"/>
              </w:rPr>
              <w:t>_Portfolio_FL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-0.10827</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(0.0423)*</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1.144728</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(0.0086)**</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50394</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0.261</w:t>
            </w:r>
          </w:p>
        </w:tc>
      </w:tr>
      <w:tr w:rsidR="005C6799" w:rsidRPr="00D01C63" w:rsidTr="002E6858">
        <w:trPr>
          <w:trHeight w:val="300"/>
        </w:trPr>
        <w:tc>
          <w:tcPr>
            <w:tcW w:w="2086" w:type="dxa"/>
            <w:noWrap/>
            <w:vAlign w:val="center"/>
            <w:hideMark/>
          </w:tcPr>
          <w:p w:rsidR="005C6799" w:rsidRPr="00D01C63" w:rsidRDefault="005C6799" w:rsidP="005C6799">
            <w:pPr>
              <w:rPr>
                <w:rFonts w:ascii="Times New Roman" w:hAnsi="Times New Roman" w:cs="Times New Roman"/>
                <w:b/>
                <w:bCs/>
                <w:szCs w:val="24"/>
              </w:rPr>
            </w:pPr>
            <w:r>
              <w:rPr>
                <w:rFonts w:ascii="Times New Roman" w:eastAsia="Times New Roman" w:hAnsi="Times New Roman" w:cs="Times New Roman"/>
                <w:b/>
                <w:bCs/>
                <w:color w:val="000000"/>
                <w:sz w:val="20"/>
                <w:szCs w:val="20"/>
              </w:rPr>
              <w:t>18H1</w:t>
            </w:r>
            <w:r w:rsidRPr="003A0F6F">
              <w:rPr>
                <w:rFonts w:ascii="Times New Roman" w:eastAsia="Times New Roman" w:hAnsi="Times New Roman" w:cs="Times New Roman"/>
                <w:b/>
                <w:bCs/>
                <w:color w:val="000000"/>
                <w:sz w:val="20"/>
                <w:szCs w:val="20"/>
              </w:rPr>
              <w:t>_Portfolio_NFL</w:t>
            </w:r>
          </w:p>
        </w:tc>
        <w:tc>
          <w:tcPr>
            <w:tcW w:w="1239"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0.696652</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(0.0497)**</w:t>
            </w:r>
          </w:p>
        </w:tc>
        <w:tc>
          <w:tcPr>
            <w:tcW w:w="1260"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0.852899</w:t>
            </w:r>
          </w:p>
        </w:tc>
        <w:tc>
          <w:tcPr>
            <w:tcW w:w="1188" w:type="dxa"/>
            <w:noWrap/>
            <w:hideMark/>
          </w:tcPr>
          <w:p w:rsidR="005C6799" w:rsidRPr="00D01C63" w:rsidRDefault="005C6799" w:rsidP="005C6799">
            <w:pPr>
              <w:rPr>
                <w:rFonts w:ascii="Times New Roman" w:hAnsi="Times New Roman" w:cs="Times New Roman"/>
                <w:szCs w:val="24"/>
              </w:rPr>
            </w:pPr>
            <w:r w:rsidRPr="00D01C63">
              <w:rPr>
                <w:rFonts w:ascii="Times New Roman" w:hAnsi="Times New Roman" w:cs="Times New Roman"/>
                <w:szCs w:val="24"/>
              </w:rPr>
              <w:t>(0.0101)**</w:t>
            </w:r>
          </w:p>
        </w:tc>
        <w:tc>
          <w:tcPr>
            <w:tcW w:w="157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65835</w:t>
            </w:r>
          </w:p>
        </w:tc>
        <w:tc>
          <w:tcPr>
            <w:tcW w:w="1267" w:type="dxa"/>
            <w:noWrap/>
            <w:hideMark/>
          </w:tcPr>
          <w:p w:rsidR="005C6799" w:rsidRPr="00D01C63" w:rsidRDefault="005C6799" w:rsidP="005C6799">
            <w:pPr>
              <w:jc w:val="center"/>
              <w:rPr>
                <w:rFonts w:ascii="Times New Roman" w:hAnsi="Times New Roman" w:cs="Times New Roman"/>
                <w:szCs w:val="24"/>
              </w:rPr>
            </w:pPr>
            <w:r w:rsidRPr="00D01C63">
              <w:rPr>
                <w:rFonts w:ascii="Times New Roman" w:hAnsi="Times New Roman" w:cs="Times New Roman"/>
                <w:szCs w:val="24"/>
              </w:rPr>
              <w:t>0.0985</w:t>
            </w:r>
          </w:p>
        </w:tc>
      </w:tr>
    </w:tbl>
    <w:p w:rsidR="00410DAB" w:rsidRPr="002E4081" w:rsidRDefault="00410DAB" w:rsidP="00410DAB">
      <w:pPr>
        <w:spacing w:after="0"/>
        <w:rPr>
          <w:rFonts w:ascii="Times New Roman" w:hAnsi="Times New Roman" w:cs="Times New Roman"/>
          <w:sz w:val="18"/>
          <w:szCs w:val="24"/>
        </w:rPr>
      </w:pPr>
      <w:r w:rsidRPr="002E4081">
        <w:rPr>
          <w:rFonts w:ascii="Times New Roman" w:hAnsi="Times New Roman" w:cs="Times New Roman"/>
          <w:sz w:val="18"/>
          <w:szCs w:val="24"/>
        </w:rPr>
        <w:t>Portfolio_FL=Stocks with Futures listed on them</w:t>
      </w:r>
    </w:p>
    <w:p w:rsidR="00410DAB" w:rsidRPr="002E4081" w:rsidRDefault="00410DAB" w:rsidP="00410DAB">
      <w:pPr>
        <w:spacing w:after="0"/>
        <w:rPr>
          <w:rFonts w:ascii="Times New Roman" w:hAnsi="Times New Roman" w:cs="Times New Roman"/>
          <w:sz w:val="18"/>
          <w:szCs w:val="24"/>
        </w:rPr>
      </w:pPr>
      <w:r w:rsidRPr="002E4081">
        <w:rPr>
          <w:rFonts w:ascii="Times New Roman" w:hAnsi="Times New Roman" w:cs="Times New Roman"/>
          <w:sz w:val="18"/>
          <w:szCs w:val="24"/>
        </w:rPr>
        <w:t>Portfolio_NFL= Stocks with no futures listed on them</w:t>
      </w:r>
    </w:p>
    <w:p w:rsidR="005849C0" w:rsidRDefault="005849C0" w:rsidP="003456E7">
      <w:pPr>
        <w:spacing w:after="0" w:line="360" w:lineRule="auto"/>
        <w:jc w:val="both"/>
        <w:rPr>
          <w:rFonts w:ascii="Times New Roman" w:hAnsi="Times New Roman" w:cs="Times New Roman"/>
          <w:sz w:val="24"/>
        </w:rPr>
      </w:pPr>
    </w:p>
    <w:p w:rsidR="0045261F" w:rsidRDefault="001A2AB4" w:rsidP="0000717C">
      <w:pPr>
        <w:spacing w:after="0" w:line="480" w:lineRule="auto"/>
        <w:jc w:val="both"/>
        <w:rPr>
          <w:rFonts w:ascii="Times New Roman" w:hAnsi="Times New Roman" w:cs="Times New Roman"/>
          <w:sz w:val="24"/>
        </w:rPr>
      </w:pPr>
      <w:r>
        <w:rPr>
          <w:rFonts w:ascii="Times New Roman" w:hAnsi="Times New Roman" w:cs="Times New Roman"/>
          <w:sz w:val="24"/>
        </w:rPr>
        <w:t>The table 10</w:t>
      </w:r>
      <w:r w:rsidR="00BA7752">
        <w:rPr>
          <w:rFonts w:ascii="Times New Roman" w:hAnsi="Times New Roman" w:cs="Times New Roman"/>
          <w:sz w:val="24"/>
        </w:rPr>
        <w:t>depicts the alpha and beta of the both portfolios.</w:t>
      </w:r>
      <w:r w:rsidR="0011503D">
        <w:rPr>
          <w:rFonts w:ascii="Times New Roman" w:hAnsi="Times New Roman" w:cs="Times New Roman"/>
          <w:sz w:val="24"/>
        </w:rPr>
        <w:t xml:space="preserve">They both are used to measure, compare </w:t>
      </w:r>
      <w:r w:rsidR="00B96678">
        <w:rPr>
          <w:rFonts w:ascii="Times New Roman" w:hAnsi="Times New Roman" w:cs="Times New Roman"/>
          <w:sz w:val="24"/>
        </w:rPr>
        <w:t xml:space="preserve">evaluate the stock returns. </w:t>
      </w:r>
      <w:r w:rsidR="004C0596">
        <w:rPr>
          <w:rFonts w:ascii="Times New Roman" w:hAnsi="Times New Roman" w:cs="Times New Roman"/>
          <w:sz w:val="24"/>
        </w:rPr>
        <w:t>Here, a</w:t>
      </w:r>
      <w:r w:rsidR="00706576">
        <w:rPr>
          <w:rFonts w:ascii="Times New Roman" w:hAnsi="Times New Roman" w:cs="Times New Roman"/>
          <w:sz w:val="24"/>
        </w:rPr>
        <w:t xml:space="preserve">lpha </w:t>
      </w:r>
      <w:r w:rsidR="0095099F">
        <w:rPr>
          <w:rFonts w:ascii="Times New Roman" w:hAnsi="Times New Roman" w:cs="Times New Roman"/>
          <w:sz w:val="24"/>
        </w:rPr>
        <w:t xml:space="preserve">defined as excess returns </w:t>
      </w:r>
      <w:r w:rsidR="001A2E07">
        <w:rPr>
          <w:rFonts w:ascii="Times New Roman" w:hAnsi="Times New Roman" w:cs="Times New Roman"/>
          <w:sz w:val="24"/>
        </w:rPr>
        <w:t xml:space="preserve">evaluates how wella </w:t>
      </w:r>
      <w:r w:rsidR="00706576">
        <w:rPr>
          <w:rFonts w:ascii="Times New Roman" w:hAnsi="Times New Roman" w:cs="Times New Roman"/>
          <w:sz w:val="24"/>
        </w:rPr>
        <w:t>specific stock</w:t>
      </w:r>
      <w:r w:rsidR="00B96678">
        <w:rPr>
          <w:rFonts w:ascii="Times New Roman" w:hAnsi="Times New Roman" w:cs="Times New Roman"/>
          <w:sz w:val="24"/>
        </w:rPr>
        <w:t xml:space="preserve">(with or without futures) </w:t>
      </w:r>
      <w:r w:rsidR="001A2E07">
        <w:rPr>
          <w:rFonts w:ascii="Times New Roman" w:hAnsi="Times New Roman" w:cs="Times New Roman"/>
          <w:sz w:val="24"/>
        </w:rPr>
        <w:t>is</w:t>
      </w:r>
      <w:r w:rsidR="00706576">
        <w:rPr>
          <w:rFonts w:ascii="Times New Roman" w:hAnsi="Times New Roman" w:cs="Times New Roman"/>
          <w:sz w:val="24"/>
        </w:rPr>
        <w:t xml:space="preserve"> performing against </w:t>
      </w:r>
      <w:r w:rsidR="004C0596">
        <w:rPr>
          <w:rFonts w:ascii="Times New Roman" w:hAnsi="Times New Roman" w:cs="Times New Roman"/>
          <w:sz w:val="24"/>
        </w:rPr>
        <w:t>the overall market.</w:t>
      </w:r>
      <w:r w:rsidR="001A2E07">
        <w:rPr>
          <w:rFonts w:ascii="Times New Roman" w:hAnsi="Times New Roman" w:cs="Times New Roman"/>
          <w:sz w:val="24"/>
        </w:rPr>
        <w:t xml:space="preserve"> It is actually a </w:t>
      </w:r>
      <w:r w:rsidR="0011503D">
        <w:rPr>
          <w:rFonts w:ascii="Times New Roman" w:hAnsi="Times New Roman" w:cs="Times New Roman"/>
          <w:sz w:val="24"/>
        </w:rPr>
        <w:lastRenderedPageBreak/>
        <w:t>technique to evaluate the risk-adjusted performance of a stock/investment.</w:t>
      </w:r>
      <w:r w:rsidR="00B96678">
        <w:rPr>
          <w:rFonts w:ascii="Times New Roman" w:hAnsi="Times New Roman" w:cs="Times New Roman"/>
          <w:sz w:val="24"/>
        </w:rPr>
        <w:t>Thus, t</w:t>
      </w:r>
      <w:r w:rsidR="004C0596">
        <w:rPr>
          <w:rFonts w:ascii="Times New Roman" w:hAnsi="Times New Roman" w:cs="Times New Roman"/>
          <w:sz w:val="24"/>
        </w:rPr>
        <w:t>he goal of every stock is to have more alpha depicting more returns.</w:t>
      </w:r>
      <w:r w:rsidR="0011503D">
        <w:rPr>
          <w:rFonts w:ascii="Times New Roman" w:hAnsi="Times New Roman" w:cs="Times New Roman"/>
          <w:sz w:val="24"/>
        </w:rPr>
        <w:t xml:space="preserve"> The positive alpha means that the </w:t>
      </w:r>
      <w:r w:rsidR="00E300DF">
        <w:rPr>
          <w:rFonts w:ascii="Times New Roman" w:hAnsi="Times New Roman" w:cs="Times New Roman"/>
          <w:sz w:val="24"/>
        </w:rPr>
        <w:t>stock returns are higher relative to its risk whereas the negative alpha indicates otherwise. The a</w:t>
      </w:r>
      <w:r w:rsidR="008E500E">
        <w:rPr>
          <w:rFonts w:ascii="Times New Roman" w:hAnsi="Times New Roman" w:cs="Times New Roman"/>
          <w:sz w:val="24"/>
        </w:rPr>
        <w:t>nalysis sho</w:t>
      </w:r>
      <w:r w:rsidR="00C95F59">
        <w:rPr>
          <w:rFonts w:ascii="Times New Roman" w:hAnsi="Times New Roman" w:cs="Times New Roman"/>
          <w:sz w:val="24"/>
        </w:rPr>
        <w:t>ws that the alpha of portfolio_FL</w:t>
      </w:r>
      <w:r w:rsidR="00E300DF">
        <w:rPr>
          <w:rFonts w:ascii="Times New Roman" w:hAnsi="Times New Roman" w:cs="Times New Roman"/>
          <w:sz w:val="24"/>
        </w:rPr>
        <w:t xml:space="preserve">is lesser than the </w:t>
      </w:r>
      <w:r w:rsidR="00C95F59">
        <w:rPr>
          <w:rFonts w:ascii="Times New Roman" w:hAnsi="Times New Roman" w:cs="Times New Roman"/>
          <w:sz w:val="24"/>
        </w:rPr>
        <w:t>portfolio_NFL</w:t>
      </w:r>
      <w:r w:rsidR="008E500E">
        <w:rPr>
          <w:rFonts w:ascii="Times New Roman" w:hAnsi="Times New Roman" w:cs="Times New Roman"/>
          <w:sz w:val="24"/>
        </w:rPr>
        <w:t xml:space="preserve">. </w:t>
      </w:r>
      <w:r w:rsidR="00565DE0">
        <w:rPr>
          <w:rFonts w:ascii="Times New Roman" w:hAnsi="Times New Roman" w:cs="Times New Roman"/>
          <w:sz w:val="24"/>
        </w:rPr>
        <w:t>We can clearly see from the table</w:t>
      </w:r>
      <w:r w:rsidR="00C95F59">
        <w:rPr>
          <w:rFonts w:ascii="Times New Roman" w:hAnsi="Times New Roman" w:cs="Times New Roman"/>
          <w:sz w:val="24"/>
        </w:rPr>
        <w:t xml:space="preserve"> 1 that the alpha of portfolio FL</w:t>
      </w:r>
      <w:r w:rsidR="00317523">
        <w:rPr>
          <w:rFonts w:ascii="Times New Roman" w:hAnsi="Times New Roman" w:cs="Times New Roman"/>
          <w:sz w:val="24"/>
        </w:rPr>
        <w:t>continued</w:t>
      </w:r>
      <w:r w:rsidR="00913D7D">
        <w:rPr>
          <w:rFonts w:ascii="Times New Roman" w:hAnsi="Times New Roman" w:cs="Times New Roman"/>
          <w:sz w:val="24"/>
        </w:rPr>
        <w:t xml:space="preserve"> to be negative from the </w:t>
      </w:r>
      <w:r w:rsidR="00C177BB">
        <w:rPr>
          <w:rFonts w:ascii="Times New Roman" w:hAnsi="Times New Roman" w:cs="Times New Roman"/>
          <w:sz w:val="24"/>
        </w:rPr>
        <w:t>initial</w:t>
      </w:r>
      <w:r w:rsidR="00913D7D">
        <w:rPr>
          <w:rFonts w:ascii="Times New Roman" w:hAnsi="Times New Roman" w:cs="Times New Roman"/>
          <w:sz w:val="24"/>
        </w:rPr>
        <w:t xml:space="preserve"> perio</w:t>
      </w:r>
      <w:r w:rsidR="00C177BB">
        <w:rPr>
          <w:rFonts w:ascii="Times New Roman" w:hAnsi="Times New Roman" w:cs="Times New Roman"/>
          <w:sz w:val="24"/>
        </w:rPr>
        <w:t>d</w:t>
      </w:r>
      <w:r w:rsidR="00317523">
        <w:rPr>
          <w:rFonts w:ascii="Times New Roman" w:hAnsi="Times New Roman" w:cs="Times New Roman"/>
          <w:sz w:val="24"/>
        </w:rPr>
        <w:t xml:space="preserve"> till the last period</w:t>
      </w:r>
      <w:r w:rsidR="00C177BB">
        <w:rPr>
          <w:rFonts w:ascii="Times New Roman" w:hAnsi="Times New Roman" w:cs="Times New Roman"/>
          <w:sz w:val="24"/>
        </w:rPr>
        <w:t xml:space="preserve">. </w:t>
      </w:r>
      <w:r w:rsidR="00C95F59">
        <w:rPr>
          <w:rFonts w:ascii="Times New Roman" w:hAnsi="Times New Roman" w:cs="Times New Roman"/>
          <w:sz w:val="24"/>
        </w:rPr>
        <w:t xml:space="preserve">However, it remained significant throughout the period. </w:t>
      </w:r>
      <w:r w:rsidR="00A90A0E">
        <w:rPr>
          <w:rFonts w:ascii="Times New Roman" w:hAnsi="Times New Roman" w:cs="Times New Roman"/>
          <w:sz w:val="24"/>
        </w:rPr>
        <w:t>The alpha returns of Portfolio_FL</w:t>
      </w:r>
      <w:r w:rsidR="00C177BB">
        <w:rPr>
          <w:rFonts w:ascii="Times New Roman" w:hAnsi="Times New Roman" w:cs="Times New Roman"/>
          <w:sz w:val="24"/>
        </w:rPr>
        <w:t xml:space="preserve"> in 2013</w:t>
      </w:r>
      <w:r w:rsidR="00287132">
        <w:rPr>
          <w:rFonts w:ascii="Times New Roman" w:hAnsi="Times New Roman" w:cs="Times New Roman"/>
          <w:sz w:val="24"/>
        </w:rPr>
        <w:t xml:space="preserve"> was</w:t>
      </w:r>
      <w:r w:rsidR="00317523">
        <w:rPr>
          <w:rFonts w:ascii="Times New Roman" w:hAnsi="Times New Roman" w:cs="Times New Roman"/>
          <w:sz w:val="24"/>
        </w:rPr>
        <w:t xml:space="preserve"> -</w:t>
      </w:r>
      <w:r w:rsidR="00287132">
        <w:rPr>
          <w:rFonts w:ascii="Times New Roman" w:hAnsi="Times New Roman" w:cs="Times New Roman"/>
          <w:sz w:val="24"/>
        </w:rPr>
        <w:t xml:space="preserve">0.5 approximately </w:t>
      </w:r>
      <w:r w:rsidR="00317523">
        <w:rPr>
          <w:rFonts w:ascii="Times New Roman" w:hAnsi="Times New Roman" w:cs="Times New Roman"/>
          <w:sz w:val="24"/>
        </w:rPr>
        <w:t>w</w:t>
      </w:r>
      <w:r w:rsidR="00A90A0E">
        <w:rPr>
          <w:rFonts w:ascii="Times New Roman" w:hAnsi="Times New Roman" w:cs="Times New Roman"/>
          <w:sz w:val="24"/>
        </w:rPr>
        <w:t xml:space="preserve">hereas, the alpha co-efficient </w:t>
      </w:r>
      <w:r w:rsidR="00317523">
        <w:rPr>
          <w:rFonts w:ascii="Times New Roman" w:hAnsi="Times New Roman" w:cs="Times New Roman"/>
          <w:sz w:val="24"/>
        </w:rPr>
        <w:t>in the current year is -0.1. The alpha values reveal that the returns of stocks with futures listed on them</w:t>
      </w:r>
      <w:r w:rsidR="00C95F59">
        <w:rPr>
          <w:rFonts w:ascii="Times New Roman" w:hAnsi="Times New Roman" w:cs="Times New Roman"/>
          <w:sz w:val="24"/>
        </w:rPr>
        <w:t xml:space="preserve"> became better with the passage of time as the alpha returns increased in negative value</w:t>
      </w:r>
      <w:r w:rsidR="00317523">
        <w:rPr>
          <w:rFonts w:ascii="Times New Roman" w:hAnsi="Times New Roman" w:cs="Times New Roman"/>
          <w:sz w:val="24"/>
        </w:rPr>
        <w:t xml:space="preserve">. </w:t>
      </w:r>
    </w:p>
    <w:p w:rsidR="002E2B58" w:rsidRDefault="009922C2" w:rsidP="0000717C">
      <w:pPr>
        <w:spacing w:after="0" w:line="480" w:lineRule="auto"/>
        <w:jc w:val="both"/>
        <w:rPr>
          <w:rFonts w:ascii="Times New Roman" w:hAnsi="Times New Roman" w:cs="Times New Roman"/>
          <w:sz w:val="24"/>
        </w:rPr>
      </w:pPr>
      <w:r>
        <w:rPr>
          <w:rFonts w:ascii="Times New Roman" w:hAnsi="Times New Roman" w:cs="Times New Roman"/>
          <w:sz w:val="24"/>
        </w:rPr>
        <w:t xml:space="preserve">Whereas, the </w:t>
      </w:r>
      <w:r w:rsidR="00A90A0E">
        <w:rPr>
          <w:rFonts w:ascii="Times New Roman" w:hAnsi="Times New Roman" w:cs="Times New Roman"/>
          <w:sz w:val="24"/>
        </w:rPr>
        <w:t>portfolio_NFL</w:t>
      </w:r>
      <w:r w:rsidR="0095099F">
        <w:rPr>
          <w:rFonts w:ascii="Times New Roman" w:hAnsi="Times New Roman" w:cs="Times New Roman"/>
          <w:sz w:val="24"/>
        </w:rPr>
        <w:t xml:space="preserve"> has alpha greater than zero in all the </w:t>
      </w:r>
      <w:r w:rsidR="00C65026">
        <w:rPr>
          <w:rFonts w:ascii="Times New Roman" w:hAnsi="Times New Roman" w:cs="Times New Roman"/>
          <w:sz w:val="24"/>
        </w:rPr>
        <w:t>periods</w:t>
      </w:r>
      <w:r w:rsidR="0095099F">
        <w:rPr>
          <w:rFonts w:ascii="Times New Roman" w:hAnsi="Times New Roman" w:cs="Times New Roman"/>
          <w:sz w:val="24"/>
        </w:rPr>
        <w:t xml:space="preserve"> depicting that the stocks in portfolio</w:t>
      </w:r>
      <w:r w:rsidR="00A90A0E">
        <w:rPr>
          <w:rFonts w:ascii="Times New Roman" w:hAnsi="Times New Roman" w:cs="Times New Roman"/>
          <w:sz w:val="24"/>
        </w:rPr>
        <w:t>_NFL</w:t>
      </w:r>
      <w:r w:rsidR="002E2B58">
        <w:rPr>
          <w:rFonts w:ascii="Times New Roman" w:hAnsi="Times New Roman" w:cs="Times New Roman"/>
          <w:sz w:val="24"/>
        </w:rPr>
        <w:t xml:space="preserve"> has outpaced</w:t>
      </w:r>
      <w:r w:rsidR="00C65026">
        <w:rPr>
          <w:rFonts w:ascii="Times New Roman" w:hAnsi="Times New Roman" w:cs="Times New Roman"/>
          <w:sz w:val="24"/>
        </w:rPr>
        <w:t xml:space="preserve"> the market. </w:t>
      </w:r>
      <w:r w:rsidR="003454A8">
        <w:rPr>
          <w:rFonts w:ascii="Times New Roman" w:hAnsi="Times New Roman" w:cs="Times New Roman"/>
          <w:sz w:val="24"/>
        </w:rPr>
        <w:t>Also, all the alpha returns for both portfolio</w:t>
      </w:r>
      <w:r w:rsidR="002E2B58">
        <w:rPr>
          <w:rFonts w:ascii="Times New Roman" w:hAnsi="Times New Roman" w:cs="Times New Roman"/>
          <w:sz w:val="24"/>
        </w:rPr>
        <w:t>s are statistically significant</w:t>
      </w:r>
      <w:r w:rsidR="002E2B58" w:rsidRPr="002E2B58">
        <w:rPr>
          <w:rFonts w:ascii="Times New Roman" w:hAnsi="Times New Roman" w:cs="Times New Roman"/>
          <w:sz w:val="24"/>
        </w:rPr>
        <w:t>.</w:t>
      </w:r>
    </w:p>
    <w:p w:rsidR="00C65026" w:rsidRDefault="00C65026" w:rsidP="0000717C">
      <w:pPr>
        <w:spacing w:after="0" w:line="480" w:lineRule="auto"/>
        <w:jc w:val="both"/>
        <w:rPr>
          <w:rFonts w:ascii="Times New Roman" w:hAnsi="Times New Roman" w:cs="Times New Roman"/>
          <w:sz w:val="24"/>
        </w:rPr>
      </w:pPr>
      <w:r>
        <w:rPr>
          <w:rFonts w:ascii="Times New Roman" w:hAnsi="Times New Roman" w:cs="Times New Roman"/>
          <w:sz w:val="24"/>
        </w:rPr>
        <w:t>The β measure</w:t>
      </w:r>
      <w:r w:rsidR="007F21DE">
        <w:rPr>
          <w:rFonts w:ascii="Times New Roman" w:hAnsi="Times New Roman" w:cs="Times New Roman"/>
          <w:sz w:val="24"/>
        </w:rPr>
        <w:t>s</w:t>
      </w:r>
      <w:r>
        <w:rPr>
          <w:rFonts w:ascii="Times New Roman" w:hAnsi="Times New Roman" w:cs="Times New Roman"/>
          <w:sz w:val="24"/>
        </w:rPr>
        <w:t xml:space="preserve"> the risk of the stock as compared to the total market. </w:t>
      </w:r>
      <w:r w:rsidR="007F21DE">
        <w:rPr>
          <w:rFonts w:ascii="Times New Roman" w:hAnsi="Times New Roman" w:cs="Times New Roman"/>
          <w:sz w:val="24"/>
        </w:rPr>
        <w:t>The results reveal</w:t>
      </w:r>
      <w:r w:rsidR="005709E1">
        <w:rPr>
          <w:rFonts w:ascii="Times New Roman" w:hAnsi="Times New Roman" w:cs="Times New Roman"/>
          <w:sz w:val="24"/>
        </w:rPr>
        <w:t>ed that the beta of portfolio_FL is greater than portfolio_NFL</w:t>
      </w:r>
      <w:r w:rsidR="007F21DE">
        <w:rPr>
          <w:rFonts w:ascii="Times New Roman" w:hAnsi="Times New Roman" w:cs="Times New Roman"/>
          <w:sz w:val="24"/>
        </w:rPr>
        <w:t xml:space="preserve">. </w:t>
      </w:r>
      <w:r w:rsidR="005709E1" w:rsidRPr="00D01C63">
        <w:rPr>
          <w:rFonts w:ascii="Times New Roman" w:hAnsi="Times New Roman" w:cs="Times New Roman"/>
          <w:sz w:val="24"/>
        </w:rPr>
        <w:t>The beta of portfolio_FL</w:t>
      </w:r>
      <w:r w:rsidR="007F21DE" w:rsidRPr="00D01C63">
        <w:rPr>
          <w:rFonts w:ascii="Times New Roman" w:hAnsi="Times New Roman" w:cs="Times New Roman"/>
          <w:sz w:val="24"/>
        </w:rPr>
        <w:t xml:space="preserve"> showed an almost similar pattern and it continued to be higher during the sample period. </w:t>
      </w:r>
      <w:r w:rsidR="005709E1" w:rsidRPr="00D01C63">
        <w:rPr>
          <w:rFonts w:ascii="Times New Roman" w:hAnsi="Times New Roman" w:cs="Times New Roman"/>
          <w:sz w:val="24"/>
        </w:rPr>
        <w:t>However, the beta of portfolio_NFL</w:t>
      </w:r>
      <w:r w:rsidR="007F21DE" w:rsidRPr="00D01C63">
        <w:rPr>
          <w:rFonts w:ascii="Times New Roman" w:hAnsi="Times New Roman" w:cs="Times New Roman"/>
          <w:sz w:val="24"/>
        </w:rPr>
        <w:t xml:space="preserve"> depicted that investing in individual stocks involves lesser </w:t>
      </w:r>
      <w:r w:rsidR="005709E1" w:rsidRPr="00D01C63">
        <w:rPr>
          <w:rFonts w:ascii="Times New Roman" w:hAnsi="Times New Roman" w:cs="Times New Roman"/>
          <w:sz w:val="24"/>
        </w:rPr>
        <w:t xml:space="preserve">market </w:t>
      </w:r>
      <w:r w:rsidR="007F21DE" w:rsidRPr="00D01C63">
        <w:rPr>
          <w:rFonts w:ascii="Times New Roman" w:hAnsi="Times New Roman" w:cs="Times New Roman"/>
          <w:sz w:val="24"/>
        </w:rPr>
        <w:t>risk.</w:t>
      </w:r>
      <w:r w:rsidR="002E2B58" w:rsidRPr="002E2B58">
        <w:rPr>
          <w:rFonts w:ascii="Times New Roman" w:hAnsi="Times New Roman" w:cs="Times New Roman"/>
          <w:sz w:val="24"/>
          <w:szCs w:val="24"/>
        </w:rPr>
        <w:t xml:space="preserve">Thus, </w:t>
      </w:r>
      <w:r w:rsidR="002E2B58" w:rsidRPr="002E2B58">
        <w:rPr>
          <w:rFonts w:ascii="Times New Roman" w:hAnsi="Times New Roman" w:cs="Times New Roman"/>
          <w:sz w:val="24"/>
        </w:rPr>
        <w:t>it is riskier to invest in stocks with futures available on them as compared to individual stocks</w:t>
      </w:r>
    </w:p>
    <w:p w:rsidR="00865555" w:rsidRDefault="00E50AB1" w:rsidP="0000717C">
      <w:pPr>
        <w:spacing w:after="0" w:line="480" w:lineRule="auto"/>
        <w:jc w:val="both"/>
        <w:rPr>
          <w:rFonts w:ascii="Times New Roman" w:hAnsi="Times New Roman" w:cs="Times New Roman"/>
          <w:sz w:val="24"/>
        </w:rPr>
      </w:pPr>
      <w:r>
        <w:rPr>
          <w:rFonts w:ascii="Times New Roman" w:hAnsi="Times New Roman" w:cs="Times New Roman"/>
          <w:sz w:val="24"/>
        </w:rPr>
        <w:t>Also, the table indicates that all co-</w:t>
      </w:r>
      <w:r w:rsidR="00B72143">
        <w:rPr>
          <w:rFonts w:ascii="Times New Roman" w:hAnsi="Times New Roman" w:cs="Times New Roman"/>
          <w:sz w:val="24"/>
        </w:rPr>
        <w:t>efficient</w:t>
      </w:r>
      <w:r w:rsidR="00D75E78">
        <w:rPr>
          <w:rFonts w:ascii="Times New Roman" w:hAnsi="Times New Roman" w:cs="Times New Roman"/>
          <w:sz w:val="24"/>
        </w:rPr>
        <w:t xml:space="preserve"> of </w:t>
      </w:r>
      <w:r>
        <w:rPr>
          <w:rFonts w:ascii="Times New Roman" w:hAnsi="Times New Roman" w:cs="Times New Roman"/>
          <w:sz w:val="24"/>
        </w:rPr>
        <w:t xml:space="preserve">beta </w:t>
      </w:r>
      <w:r w:rsidR="00D75E78">
        <w:rPr>
          <w:rFonts w:ascii="Times New Roman" w:hAnsi="Times New Roman" w:cs="Times New Roman"/>
          <w:sz w:val="24"/>
        </w:rPr>
        <w:t xml:space="preserve">for both portfolios </w:t>
      </w:r>
      <w:r>
        <w:rPr>
          <w:rFonts w:ascii="Times New Roman" w:hAnsi="Times New Roman" w:cs="Times New Roman"/>
          <w:sz w:val="24"/>
        </w:rPr>
        <w:t xml:space="preserve">are </w:t>
      </w:r>
      <w:r w:rsidR="00D75E78">
        <w:rPr>
          <w:rFonts w:ascii="Times New Roman" w:hAnsi="Times New Roman" w:cs="Times New Roman"/>
          <w:sz w:val="24"/>
        </w:rPr>
        <w:t xml:space="preserve">positive and </w:t>
      </w:r>
      <w:r>
        <w:rPr>
          <w:rFonts w:ascii="Times New Roman" w:hAnsi="Times New Roman" w:cs="Times New Roman"/>
          <w:sz w:val="24"/>
        </w:rPr>
        <w:t xml:space="preserve">statistically significant as </w:t>
      </w:r>
      <w:r w:rsidR="00BE09BB">
        <w:rPr>
          <w:rFonts w:ascii="Times New Roman" w:hAnsi="Times New Roman" w:cs="Times New Roman"/>
          <w:sz w:val="24"/>
        </w:rPr>
        <w:t>they have significant p-value.</w:t>
      </w:r>
    </w:p>
    <w:p w:rsidR="00137EA6" w:rsidRDefault="00865555" w:rsidP="0000717C">
      <w:pPr>
        <w:spacing w:after="0" w:line="480" w:lineRule="auto"/>
        <w:jc w:val="both"/>
        <w:rPr>
          <w:rFonts w:ascii="Times New Roman" w:hAnsi="Times New Roman" w:cs="Times New Roman"/>
          <w:sz w:val="24"/>
        </w:rPr>
      </w:pPr>
      <w:r>
        <w:rPr>
          <w:rFonts w:ascii="Times New Roman" w:hAnsi="Times New Roman" w:cs="Times New Roman"/>
          <w:sz w:val="24"/>
        </w:rPr>
        <w:t xml:space="preserve">(For the </w:t>
      </w:r>
      <w:r w:rsidR="00D857B7">
        <w:rPr>
          <w:rFonts w:ascii="Times New Roman" w:hAnsi="Times New Roman" w:cs="Times New Roman"/>
          <w:sz w:val="24"/>
        </w:rPr>
        <w:t>confidence band graphs</w:t>
      </w:r>
      <w:r>
        <w:rPr>
          <w:rFonts w:ascii="Times New Roman" w:hAnsi="Times New Roman" w:cs="Times New Roman"/>
          <w:sz w:val="24"/>
        </w:rPr>
        <w:t>, see Appendix, Figure 1</w:t>
      </w:r>
      <w:r w:rsidR="004D09B2">
        <w:rPr>
          <w:rFonts w:ascii="Times New Roman" w:hAnsi="Times New Roman" w:cs="Times New Roman"/>
          <w:sz w:val="24"/>
        </w:rPr>
        <w:t xml:space="preserve"> and Figure 2).</w:t>
      </w:r>
    </w:p>
    <w:p w:rsidR="003B3BF9" w:rsidRDefault="003B3BF9" w:rsidP="0000717C">
      <w:pPr>
        <w:spacing w:after="0" w:line="480" w:lineRule="auto"/>
        <w:jc w:val="both"/>
        <w:rPr>
          <w:rFonts w:ascii="Times New Roman" w:hAnsi="Times New Roman" w:cs="Times New Roman"/>
          <w:sz w:val="24"/>
        </w:rPr>
      </w:pPr>
    </w:p>
    <w:p w:rsidR="00631781" w:rsidRDefault="00631781" w:rsidP="0000717C">
      <w:pPr>
        <w:spacing w:after="0" w:line="480" w:lineRule="auto"/>
        <w:jc w:val="both"/>
        <w:rPr>
          <w:rFonts w:ascii="Times New Roman" w:hAnsi="Times New Roman" w:cs="Times New Roman"/>
          <w:sz w:val="24"/>
        </w:rPr>
      </w:pPr>
    </w:p>
    <w:p w:rsidR="00631781" w:rsidRDefault="00631781" w:rsidP="0000717C">
      <w:pPr>
        <w:spacing w:after="0" w:line="480" w:lineRule="auto"/>
        <w:jc w:val="both"/>
        <w:rPr>
          <w:rFonts w:ascii="Times New Roman" w:hAnsi="Times New Roman" w:cs="Times New Roman"/>
          <w:sz w:val="24"/>
        </w:rPr>
      </w:pPr>
    </w:p>
    <w:p w:rsidR="00410DAB" w:rsidRDefault="00410DAB" w:rsidP="0000717C">
      <w:pPr>
        <w:spacing w:after="0" w:line="480" w:lineRule="auto"/>
        <w:jc w:val="both"/>
        <w:rPr>
          <w:rFonts w:ascii="Times New Roman" w:hAnsi="Times New Roman" w:cs="Times New Roman"/>
          <w:sz w:val="24"/>
        </w:rPr>
      </w:pPr>
    </w:p>
    <w:p w:rsidR="00E62B10" w:rsidRDefault="00E62B10" w:rsidP="0000717C">
      <w:pPr>
        <w:spacing w:after="0" w:line="480" w:lineRule="auto"/>
        <w:jc w:val="both"/>
        <w:rPr>
          <w:rFonts w:ascii="Times New Roman" w:hAnsi="Times New Roman" w:cs="Times New Roman"/>
          <w:sz w:val="24"/>
        </w:rPr>
      </w:pPr>
    </w:p>
    <w:p w:rsidR="00CD59E4" w:rsidRPr="008C0DFE" w:rsidRDefault="00935069" w:rsidP="008C0DFE">
      <w:pPr>
        <w:pStyle w:val="Heading5"/>
        <w:spacing w:before="0"/>
        <w:jc w:val="both"/>
        <w:rPr>
          <w:rFonts w:ascii="Times New Roman" w:hAnsi="Times New Roman" w:cs="Times New Roman"/>
          <w:b/>
          <w:color w:val="auto"/>
          <w:sz w:val="24"/>
        </w:rPr>
      </w:pPr>
      <w:bookmarkStart w:id="18" w:name="_Toc520219902"/>
      <w:r>
        <w:rPr>
          <w:rFonts w:ascii="Times New Roman" w:hAnsi="Times New Roman" w:cs="Times New Roman"/>
          <w:b/>
          <w:color w:val="auto"/>
          <w:sz w:val="24"/>
        </w:rPr>
        <w:t>4</w:t>
      </w:r>
      <w:r w:rsidR="008F61E6" w:rsidRPr="008C0DFE">
        <w:rPr>
          <w:rFonts w:ascii="Times New Roman" w:hAnsi="Times New Roman" w:cs="Times New Roman"/>
          <w:b/>
          <w:color w:val="auto"/>
          <w:sz w:val="24"/>
        </w:rPr>
        <w:t xml:space="preserve">.2.2 </w:t>
      </w:r>
      <w:r w:rsidR="000220E7">
        <w:rPr>
          <w:rFonts w:ascii="Times New Roman" w:hAnsi="Times New Roman" w:cs="Times New Roman"/>
          <w:b/>
          <w:color w:val="auto"/>
          <w:sz w:val="24"/>
        </w:rPr>
        <w:t>Multi-</w:t>
      </w:r>
      <w:r w:rsidR="008F61E6" w:rsidRPr="008C0DFE">
        <w:rPr>
          <w:rFonts w:ascii="Times New Roman" w:hAnsi="Times New Roman" w:cs="Times New Roman"/>
          <w:b/>
          <w:color w:val="auto"/>
          <w:sz w:val="24"/>
        </w:rPr>
        <w:t>Factor Model</w:t>
      </w:r>
      <w:bookmarkEnd w:id="18"/>
    </w:p>
    <w:p w:rsidR="0008049A" w:rsidRDefault="0008049A" w:rsidP="0008049A">
      <w:pPr>
        <w:spacing w:after="0" w:line="480" w:lineRule="auto"/>
        <w:jc w:val="both"/>
        <w:rPr>
          <w:rFonts w:ascii="Times New Roman" w:hAnsi="Times New Roman" w:cs="Times New Roman"/>
          <w:sz w:val="24"/>
        </w:rPr>
      </w:pPr>
    </w:p>
    <w:p w:rsidR="0008049A" w:rsidRPr="0033194F" w:rsidRDefault="0008049A" w:rsidP="0008049A">
      <w:pPr>
        <w:spacing w:after="0" w:line="480" w:lineRule="auto"/>
        <w:jc w:val="both"/>
        <w:rPr>
          <w:rFonts w:ascii="Times New Roman" w:hAnsi="Times New Roman" w:cs="Times New Roman"/>
          <w:sz w:val="24"/>
        </w:rPr>
      </w:pPr>
      <w:r>
        <w:rPr>
          <w:rFonts w:ascii="Times New Roman" w:hAnsi="Times New Roman" w:cs="Times New Roman"/>
          <w:sz w:val="24"/>
        </w:rPr>
        <w:t xml:space="preserve">We have evaluated the return and risk dynamics of the market through the factor model. The two other variables were added to the model i.e. Size and Value in order to assess returns. </w:t>
      </w:r>
      <w:r w:rsidRPr="0033194F">
        <w:rPr>
          <w:rFonts w:ascii="Times New Roman" w:hAnsi="Times New Roman" w:cs="Times New Roman"/>
          <w:sz w:val="24"/>
        </w:rPr>
        <w:t>As a proxy of Sizewe could not take the nominal value of total assets of the company so we took log of total assets. Whereas, we calculated book to market ratio for all the stocks in our data for the proxy of Value. The following formula was used for this purpose:</w:t>
      </w:r>
    </w:p>
    <w:p w:rsidR="0008049A" w:rsidRPr="0033194F" w:rsidRDefault="0008049A" w:rsidP="0008049A">
      <w:pPr>
        <w:spacing w:after="0" w:line="480" w:lineRule="auto"/>
        <w:jc w:val="both"/>
        <w:rPr>
          <w:rFonts w:ascii="Times New Roman" w:hAnsi="Times New Roman" w:cs="Times New Roman"/>
          <w:sz w:val="24"/>
        </w:rPr>
      </w:pPr>
      <w:r w:rsidRPr="0033194F">
        <w:rPr>
          <w:rFonts w:ascii="Times New Roman" w:hAnsi="Times New Roman" w:cs="Times New Roman"/>
          <w:b/>
          <w:sz w:val="24"/>
        </w:rPr>
        <w:t>Market Capitalization</w:t>
      </w:r>
      <w:r w:rsidRPr="0033194F">
        <w:rPr>
          <w:rFonts w:ascii="Times New Roman" w:hAnsi="Times New Roman" w:cs="Times New Roman"/>
          <w:sz w:val="24"/>
        </w:rPr>
        <w:t xml:space="preserve"> = Price * Outstanding Shares_Market</w:t>
      </w:r>
    </w:p>
    <w:p w:rsidR="0008049A" w:rsidRDefault="0008049A" w:rsidP="0008049A">
      <w:pPr>
        <w:spacing w:after="0" w:line="480" w:lineRule="auto"/>
        <w:jc w:val="both"/>
        <w:rPr>
          <w:rFonts w:ascii="Times New Roman" w:hAnsi="Times New Roman" w:cs="Times New Roman"/>
          <w:sz w:val="24"/>
        </w:rPr>
      </w:pPr>
      <w:r w:rsidRPr="0033194F">
        <w:rPr>
          <w:rFonts w:ascii="Times New Roman" w:hAnsi="Times New Roman" w:cs="Times New Roman"/>
          <w:b/>
          <w:sz w:val="24"/>
        </w:rPr>
        <w:t>Book/Market Ratio</w:t>
      </w:r>
      <w:r w:rsidRPr="0033194F">
        <w:rPr>
          <w:rFonts w:ascii="Times New Roman" w:hAnsi="Times New Roman" w:cs="Times New Roman"/>
          <w:sz w:val="24"/>
        </w:rPr>
        <w:t xml:space="preserve"> = Common Shareholder’s Equity/Market Capitalization</w:t>
      </w:r>
    </w:p>
    <w:p w:rsidR="00DE5F31" w:rsidRPr="00700152" w:rsidRDefault="008B270F" w:rsidP="0008049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Firstly, before estimating the factor model for a given time period, we estimated this model for overall futures listed portfolio and non-futures listed portfolio. </w:t>
      </w:r>
    </w:p>
    <w:p w:rsidR="00D374C5" w:rsidRDefault="00D374C5" w:rsidP="004618A4">
      <w:pPr>
        <w:spacing w:after="0"/>
        <w:rPr>
          <w:rFonts w:ascii="Times New Roman" w:hAnsi="Times New Roman" w:cs="Times New Roman"/>
          <w:b/>
          <w:sz w:val="24"/>
          <w:szCs w:val="24"/>
        </w:rPr>
      </w:pPr>
    </w:p>
    <w:p w:rsidR="004618A4" w:rsidRPr="005A0491" w:rsidRDefault="00A035E2" w:rsidP="004618A4">
      <w:pPr>
        <w:spacing w:after="0"/>
        <w:rPr>
          <w:rFonts w:ascii="Times New Roman" w:hAnsi="Times New Roman" w:cs="Times New Roman"/>
          <w:b/>
          <w:sz w:val="24"/>
          <w:szCs w:val="24"/>
        </w:rPr>
      </w:pPr>
      <w:r>
        <w:rPr>
          <w:rFonts w:ascii="Times New Roman" w:hAnsi="Times New Roman" w:cs="Times New Roman"/>
          <w:b/>
          <w:sz w:val="24"/>
          <w:szCs w:val="24"/>
        </w:rPr>
        <w:t>Table 11</w:t>
      </w:r>
      <w:r w:rsidR="004618A4" w:rsidRPr="00EC1575">
        <w:rPr>
          <w:rFonts w:ascii="Times New Roman" w:hAnsi="Times New Roman" w:cs="Times New Roman"/>
          <w:b/>
          <w:sz w:val="24"/>
          <w:szCs w:val="24"/>
        </w:rPr>
        <w:t xml:space="preserve">: </w:t>
      </w:r>
      <w:r w:rsidR="00BC3346">
        <w:rPr>
          <w:rFonts w:ascii="Times New Roman" w:hAnsi="Times New Roman" w:cs="Times New Roman"/>
          <w:b/>
          <w:sz w:val="24"/>
          <w:szCs w:val="24"/>
        </w:rPr>
        <w:t>Multi-</w:t>
      </w:r>
      <w:r w:rsidR="004618A4" w:rsidRPr="00EC1575">
        <w:rPr>
          <w:rFonts w:ascii="Times New Roman" w:hAnsi="Times New Roman" w:cs="Times New Roman"/>
          <w:b/>
          <w:sz w:val="24"/>
          <w:szCs w:val="24"/>
        </w:rPr>
        <w:t xml:space="preserve">Factor Model for </w:t>
      </w:r>
      <w:r w:rsidR="00BC3346">
        <w:rPr>
          <w:rFonts w:ascii="Times New Roman" w:hAnsi="Times New Roman" w:cs="Times New Roman"/>
          <w:b/>
          <w:sz w:val="24"/>
          <w:szCs w:val="24"/>
        </w:rPr>
        <w:t>Portfolios</w:t>
      </w:r>
      <w:r w:rsidR="004618A4" w:rsidRPr="00EC1575">
        <w:rPr>
          <w:rFonts w:ascii="Times New Roman" w:hAnsi="Times New Roman" w:cs="Times New Roman"/>
          <w:b/>
          <w:sz w:val="24"/>
          <w:szCs w:val="24"/>
        </w:rPr>
        <w:t xml:space="preserve"> (Ove</w:t>
      </w:r>
      <w:r w:rsidR="005A0491">
        <w:rPr>
          <w:rFonts w:ascii="Times New Roman" w:hAnsi="Times New Roman" w:cs="Times New Roman"/>
          <w:b/>
          <w:sz w:val="24"/>
          <w:szCs w:val="24"/>
        </w:rPr>
        <w:t>rall)</w:t>
      </w:r>
    </w:p>
    <w:p w:rsidR="004618A4" w:rsidRPr="004618A4" w:rsidRDefault="004618A4" w:rsidP="004618A4">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tblPr>
      <w:tblGrid>
        <w:gridCol w:w="2017"/>
        <w:gridCol w:w="1103"/>
        <w:gridCol w:w="1207"/>
        <w:gridCol w:w="1208"/>
        <w:gridCol w:w="997"/>
      </w:tblGrid>
      <w:tr w:rsidR="00525252" w:rsidRPr="004618A4" w:rsidTr="00D62170">
        <w:trPr>
          <w:trHeight w:val="225"/>
        </w:trPr>
        <w:tc>
          <w:tcPr>
            <w:tcW w:w="6532" w:type="dxa"/>
            <w:gridSpan w:val="5"/>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center"/>
              <w:rPr>
                <w:rFonts w:ascii="Times New Roman" w:hAnsi="Times New Roman" w:cs="Times New Roman"/>
                <w:b/>
                <w:color w:val="000000"/>
                <w:sz w:val="20"/>
                <w:szCs w:val="20"/>
              </w:rPr>
            </w:pPr>
            <w:r w:rsidRPr="00525252">
              <w:rPr>
                <w:rFonts w:ascii="Times New Roman" w:hAnsi="Times New Roman" w:cs="Times New Roman"/>
                <w:b/>
                <w:color w:val="000000"/>
                <w:sz w:val="20"/>
                <w:szCs w:val="20"/>
              </w:rPr>
              <w:t>Futures Listed Stock (Overall)</w:t>
            </w:r>
          </w:p>
        </w:tc>
      </w:tr>
      <w:tr w:rsidR="00525252" w:rsidRPr="004618A4">
        <w:trPr>
          <w:trHeight w:val="225"/>
        </w:trPr>
        <w:tc>
          <w:tcPr>
            <w:tcW w:w="2017"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jc w:val="center"/>
              <w:rPr>
                <w:rFonts w:ascii="Times New Roman" w:hAnsi="Times New Roman" w:cs="Times New Roman"/>
                <w:b/>
                <w:color w:val="000000"/>
                <w:sz w:val="20"/>
                <w:szCs w:val="20"/>
              </w:rPr>
            </w:pPr>
          </w:p>
        </w:tc>
        <w:tc>
          <w:tcPr>
            <w:tcW w:w="1103"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ind w:right="10"/>
              <w:jc w:val="right"/>
              <w:rPr>
                <w:rFonts w:ascii="Times New Roman" w:hAnsi="Times New Roman" w:cs="Times New Roman"/>
                <w:b/>
                <w:color w:val="000000"/>
                <w:sz w:val="20"/>
                <w:szCs w:val="20"/>
              </w:rPr>
            </w:pPr>
          </w:p>
        </w:tc>
        <w:tc>
          <w:tcPr>
            <w:tcW w:w="1207"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ind w:right="10"/>
              <w:jc w:val="right"/>
              <w:rPr>
                <w:rFonts w:ascii="Times New Roman" w:hAnsi="Times New Roman" w:cs="Times New Roman"/>
                <w:b/>
                <w:color w:val="000000"/>
                <w:sz w:val="20"/>
                <w:szCs w:val="20"/>
              </w:rPr>
            </w:pPr>
          </w:p>
        </w:tc>
        <w:tc>
          <w:tcPr>
            <w:tcW w:w="1208"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ind w:right="10"/>
              <w:jc w:val="right"/>
              <w:rPr>
                <w:rFonts w:ascii="Times New Roman" w:hAnsi="Times New Roman" w:cs="Times New Roman"/>
                <w:b/>
                <w:color w:val="000000"/>
                <w:sz w:val="20"/>
                <w:szCs w:val="20"/>
              </w:rPr>
            </w:pPr>
          </w:p>
        </w:tc>
        <w:tc>
          <w:tcPr>
            <w:tcW w:w="997"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ind w:right="10"/>
              <w:jc w:val="right"/>
              <w:rPr>
                <w:rFonts w:ascii="Times New Roman" w:hAnsi="Times New Roman" w:cs="Times New Roman"/>
                <w:b/>
                <w:color w:val="000000"/>
                <w:sz w:val="20"/>
                <w:szCs w:val="20"/>
              </w:rPr>
            </w:pPr>
          </w:p>
        </w:tc>
      </w:tr>
      <w:tr w:rsidR="004618A4" w:rsidRPr="004618A4">
        <w:trPr>
          <w:trHeight w:val="225"/>
        </w:trPr>
        <w:tc>
          <w:tcPr>
            <w:tcW w:w="2017"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b/>
                <w:color w:val="000000"/>
                <w:sz w:val="20"/>
                <w:szCs w:val="20"/>
              </w:rPr>
            </w:pPr>
            <w:r w:rsidRPr="00525252">
              <w:rPr>
                <w:rFonts w:ascii="Times New Roman" w:hAnsi="Times New Roman" w:cs="Times New Roman"/>
                <w:b/>
                <w:color w:val="000000"/>
                <w:sz w:val="20"/>
                <w:szCs w:val="20"/>
              </w:rPr>
              <w:t>Variable</w:t>
            </w:r>
          </w:p>
        </w:tc>
        <w:tc>
          <w:tcPr>
            <w:tcW w:w="1103"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ind w:right="10"/>
              <w:jc w:val="right"/>
              <w:rPr>
                <w:rFonts w:ascii="Times New Roman" w:hAnsi="Times New Roman" w:cs="Times New Roman"/>
                <w:b/>
                <w:color w:val="000000"/>
                <w:sz w:val="20"/>
                <w:szCs w:val="20"/>
              </w:rPr>
            </w:pPr>
            <w:r w:rsidRPr="00525252">
              <w:rPr>
                <w:rFonts w:ascii="Times New Roman" w:hAnsi="Times New Roman" w:cs="Times New Roman"/>
                <w:b/>
                <w:color w:val="000000"/>
                <w:sz w:val="20"/>
                <w:szCs w:val="20"/>
              </w:rPr>
              <w:t>Coefficient</w:t>
            </w:r>
          </w:p>
        </w:tc>
        <w:tc>
          <w:tcPr>
            <w:tcW w:w="1207"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ind w:right="10"/>
              <w:jc w:val="right"/>
              <w:rPr>
                <w:rFonts w:ascii="Times New Roman" w:hAnsi="Times New Roman" w:cs="Times New Roman"/>
                <w:b/>
                <w:color w:val="000000"/>
                <w:sz w:val="20"/>
                <w:szCs w:val="20"/>
              </w:rPr>
            </w:pPr>
            <w:r w:rsidRPr="00525252">
              <w:rPr>
                <w:rFonts w:ascii="Times New Roman" w:hAnsi="Times New Roman" w:cs="Times New Roman"/>
                <w:b/>
                <w:color w:val="000000"/>
                <w:sz w:val="20"/>
                <w:szCs w:val="20"/>
              </w:rPr>
              <w:t>Std. Error</w:t>
            </w:r>
          </w:p>
        </w:tc>
        <w:tc>
          <w:tcPr>
            <w:tcW w:w="1208"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ind w:right="10"/>
              <w:jc w:val="right"/>
              <w:rPr>
                <w:rFonts w:ascii="Times New Roman" w:hAnsi="Times New Roman" w:cs="Times New Roman"/>
                <w:b/>
                <w:color w:val="000000"/>
                <w:sz w:val="20"/>
                <w:szCs w:val="20"/>
              </w:rPr>
            </w:pPr>
            <w:r w:rsidRPr="00525252">
              <w:rPr>
                <w:rFonts w:ascii="Times New Roman" w:hAnsi="Times New Roman" w:cs="Times New Roman"/>
                <w:b/>
                <w:color w:val="000000"/>
                <w:sz w:val="20"/>
                <w:szCs w:val="20"/>
              </w:rPr>
              <w:t>t-Statistic</w:t>
            </w:r>
          </w:p>
        </w:tc>
        <w:tc>
          <w:tcPr>
            <w:tcW w:w="997"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ind w:right="10"/>
              <w:jc w:val="right"/>
              <w:rPr>
                <w:rFonts w:ascii="Times New Roman" w:hAnsi="Times New Roman" w:cs="Times New Roman"/>
                <w:b/>
                <w:color w:val="000000"/>
                <w:sz w:val="20"/>
                <w:szCs w:val="20"/>
              </w:rPr>
            </w:pPr>
            <w:r w:rsidRPr="00525252">
              <w:rPr>
                <w:rFonts w:ascii="Times New Roman" w:hAnsi="Times New Roman" w:cs="Times New Roman"/>
                <w:b/>
                <w:color w:val="000000"/>
                <w:sz w:val="20"/>
                <w:szCs w:val="20"/>
              </w:rPr>
              <w:t>Prob.  </w:t>
            </w:r>
          </w:p>
        </w:tc>
      </w:tr>
      <w:tr w:rsidR="004618A4" w:rsidRPr="004618A4">
        <w:trPr>
          <w:trHeight w:hRule="exact" w:val="90"/>
        </w:trPr>
        <w:tc>
          <w:tcPr>
            <w:tcW w:w="2017" w:type="dxa"/>
            <w:tcBorders>
              <w:top w:val="nil"/>
              <w:left w:val="nil"/>
              <w:bottom w:val="double" w:sz="6" w:space="2" w:color="auto"/>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1103" w:type="dxa"/>
            <w:tcBorders>
              <w:top w:val="nil"/>
              <w:left w:val="nil"/>
              <w:bottom w:val="double" w:sz="6" w:space="2" w:color="auto"/>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1207" w:type="dxa"/>
            <w:tcBorders>
              <w:top w:val="nil"/>
              <w:left w:val="nil"/>
              <w:bottom w:val="double" w:sz="6" w:space="2" w:color="auto"/>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1208" w:type="dxa"/>
            <w:tcBorders>
              <w:top w:val="nil"/>
              <w:left w:val="nil"/>
              <w:bottom w:val="double" w:sz="6" w:space="2" w:color="auto"/>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997" w:type="dxa"/>
            <w:tcBorders>
              <w:top w:val="nil"/>
              <w:left w:val="nil"/>
              <w:bottom w:val="double" w:sz="6" w:space="2" w:color="auto"/>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r>
      <w:tr w:rsidR="004618A4" w:rsidRPr="004618A4">
        <w:trPr>
          <w:trHeight w:hRule="exact" w:val="135"/>
        </w:trPr>
        <w:tc>
          <w:tcPr>
            <w:tcW w:w="2017"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1103"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1207"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1208"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997"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r>
      <w:tr w:rsidR="00D374C5" w:rsidRPr="004618A4">
        <w:trPr>
          <w:trHeight w:val="225"/>
        </w:trPr>
        <w:tc>
          <w:tcPr>
            <w:tcW w:w="2017" w:type="dxa"/>
            <w:tcBorders>
              <w:top w:val="nil"/>
              <w:left w:val="nil"/>
              <w:bottom w:val="nil"/>
              <w:right w:val="nil"/>
            </w:tcBorders>
            <w:vAlign w:val="bottom"/>
          </w:tcPr>
          <w:p w:rsidR="00D374C5" w:rsidRPr="00525252" w:rsidRDefault="00D374C5" w:rsidP="00D374C5">
            <w:pPr>
              <w:autoSpaceDE w:val="0"/>
              <w:autoSpaceDN w:val="0"/>
              <w:adjustRightInd w:val="0"/>
              <w:spacing w:after="0" w:line="240" w:lineRule="auto"/>
              <w:jc w:val="center"/>
              <w:rPr>
                <w:rFonts w:ascii="Times New Roman" w:hAnsi="Times New Roman" w:cs="Times New Roman"/>
                <w:color w:val="000000"/>
                <w:sz w:val="20"/>
                <w:szCs w:val="20"/>
              </w:rPr>
            </w:pPr>
            <w:r w:rsidRPr="00525252">
              <w:rPr>
                <w:rFonts w:ascii="Times New Roman" w:hAnsi="Times New Roman" w:cs="Times New Roman"/>
                <w:b/>
                <w:color w:val="000000"/>
                <w:sz w:val="20"/>
                <w:szCs w:val="20"/>
              </w:rPr>
              <w:t>Excess Market Return</w:t>
            </w:r>
          </w:p>
        </w:tc>
        <w:tc>
          <w:tcPr>
            <w:tcW w:w="1103" w:type="dxa"/>
            <w:tcBorders>
              <w:top w:val="nil"/>
              <w:left w:val="nil"/>
              <w:bottom w:val="nil"/>
              <w:right w:val="nil"/>
            </w:tcBorders>
            <w:vAlign w:val="bottom"/>
          </w:tcPr>
          <w:p w:rsidR="00D374C5" w:rsidRPr="00525252" w:rsidRDefault="00D374C5" w:rsidP="00D374C5">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6.749401</w:t>
            </w:r>
          </w:p>
        </w:tc>
        <w:tc>
          <w:tcPr>
            <w:tcW w:w="1207" w:type="dxa"/>
            <w:tcBorders>
              <w:top w:val="nil"/>
              <w:left w:val="nil"/>
              <w:bottom w:val="nil"/>
              <w:right w:val="nil"/>
            </w:tcBorders>
            <w:vAlign w:val="bottom"/>
          </w:tcPr>
          <w:p w:rsidR="00D374C5" w:rsidRPr="00525252" w:rsidRDefault="00D374C5" w:rsidP="00D374C5">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0.620738</w:t>
            </w:r>
          </w:p>
        </w:tc>
        <w:tc>
          <w:tcPr>
            <w:tcW w:w="1208" w:type="dxa"/>
            <w:tcBorders>
              <w:top w:val="nil"/>
              <w:left w:val="nil"/>
              <w:bottom w:val="nil"/>
              <w:right w:val="nil"/>
            </w:tcBorders>
            <w:vAlign w:val="bottom"/>
          </w:tcPr>
          <w:p w:rsidR="00D374C5" w:rsidRPr="00525252" w:rsidRDefault="00D374C5" w:rsidP="00D374C5">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10.87319</w:t>
            </w:r>
          </w:p>
        </w:tc>
        <w:tc>
          <w:tcPr>
            <w:tcW w:w="997" w:type="dxa"/>
            <w:tcBorders>
              <w:top w:val="nil"/>
              <w:left w:val="nil"/>
              <w:bottom w:val="nil"/>
              <w:right w:val="nil"/>
            </w:tcBorders>
            <w:vAlign w:val="bottom"/>
          </w:tcPr>
          <w:p w:rsidR="00D374C5" w:rsidRPr="00525252" w:rsidRDefault="00525252" w:rsidP="00D374C5">
            <w:pPr>
              <w:autoSpaceDE w:val="0"/>
              <w:autoSpaceDN w:val="0"/>
              <w:adjustRightInd w:val="0"/>
              <w:spacing w:after="0" w:line="240" w:lineRule="auto"/>
              <w:ind w:right="10"/>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r>
      <w:tr w:rsidR="00D374C5" w:rsidRPr="004618A4">
        <w:trPr>
          <w:trHeight w:val="225"/>
        </w:trPr>
        <w:tc>
          <w:tcPr>
            <w:tcW w:w="2017" w:type="dxa"/>
            <w:tcBorders>
              <w:top w:val="nil"/>
              <w:left w:val="nil"/>
              <w:bottom w:val="nil"/>
              <w:right w:val="nil"/>
            </w:tcBorders>
            <w:vAlign w:val="bottom"/>
          </w:tcPr>
          <w:p w:rsidR="00D374C5" w:rsidRPr="00525252" w:rsidRDefault="00D374C5" w:rsidP="00D374C5">
            <w:pPr>
              <w:autoSpaceDE w:val="0"/>
              <w:autoSpaceDN w:val="0"/>
              <w:adjustRightInd w:val="0"/>
              <w:spacing w:after="0" w:line="240" w:lineRule="auto"/>
              <w:jc w:val="center"/>
              <w:rPr>
                <w:rFonts w:ascii="Times New Roman" w:hAnsi="Times New Roman" w:cs="Times New Roman"/>
                <w:color w:val="000000"/>
                <w:sz w:val="20"/>
                <w:szCs w:val="20"/>
              </w:rPr>
            </w:pPr>
            <w:r w:rsidRPr="00525252">
              <w:rPr>
                <w:rFonts w:ascii="Times New Roman" w:hAnsi="Times New Roman" w:cs="Times New Roman"/>
                <w:b/>
                <w:color w:val="000000"/>
                <w:sz w:val="20"/>
                <w:szCs w:val="20"/>
              </w:rPr>
              <w:t>Market Risk Premium</w:t>
            </w:r>
          </w:p>
        </w:tc>
        <w:tc>
          <w:tcPr>
            <w:tcW w:w="1103" w:type="dxa"/>
            <w:tcBorders>
              <w:top w:val="nil"/>
              <w:left w:val="nil"/>
              <w:bottom w:val="nil"/>
              <w:right w:val="nil"/>
            </w:tcBorders>
            <w:vAlign w:val="bottom"/>
          </w:tcPr>
          <w:p w:rsidR="00D374C5" w:rsidRPr="00525252" w:rsidRDefault="00D374C5" w:rsidP="00D374C5">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1.105185</w:t>
            </w:r>
          </w:p>
        </w:tc>
        <w:tc>
          <w:tcPr>
            <w:tcW w:w="1207" w:type="dxa"/>
            <w:tcBorders>
              <w:top w:val="nil"/>
              <w:left w:val="nil"/>
              <w:bottom w:val="nil"/>
              <w:right w:val="nil"/>
            </w:tcBorders>
            <w:vAlign w:val="bottom"/>
          </w:tcPr>
          <w:p w:rsidR="00D374C5" w:rsidRPr="00525252" w:rsidRDefault="00D374C5" w:rsidP="00D374C5">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0.007929</w:t>
            </w:r>
          </w:p>
        </w:tc>
        <w:tc>
          <w:tcPr>
            <w:tcW w:w="1208" w:type="dxa"/>
            <w:tcBorders>
              <w:top w:val="nil"/>
              <w:left w:val="nil"/>
              <w:bottom w:val="nil"/>
              <w:right w:val="nil"/>
            </w:tcBorders>
            <w:vAlign w:val="bottom"/>
          </w:tcPr>
          <w:p w:rsidR="00D374C5" w:rsidRPr="00525252" w:rsidRDefault="00D374C5" w:rsidP="00D374C5">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139.3822</w:t>
            </w:r>
          </w:p>
        </w:tc>
        <w:tc>
          <w:tcPr>
            <w:tcW w:w="997" w:type="dxa"/>
            <w:tcBorders>
              <w:top w:val="nil"/>
              <w:left w:val="nil"/>
              <w:bottom w:val="nil"/>
              <w:right w:val="nil"/>
            </w:tcBorders>
            <w:vAlign w:val="bottom"/>
          </w:tcPr>
          <w:p w:rsidR="00D374C5" w:rsidRPr="00525252" w:rsidRDefault="00525252" w:rsidP="00D374C5">
            <w:pPr>
              <w:autoSpaceDE w:val="0"/>
              <w:autoSpaceDN w:val="0"/>
              <w:adjustRightInd w:val="0"/>
              <w:spacing w:after="0" w:line="240" w:lineRule="auto"/>
              <w:ind w:right="10"/>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r>
      <w:tr w:rsidR="004618A4" w:rsidRPr="004618A4">
        <w:trPr>
          <w:trHeight w:val="225"/>
        </w:trPr>
        <w:tc>
          <w:tcPr>
            <w:tcW w:w="2017" w:type="dxa"/>
            <w:tcBorders>
              <w:top w:val="nil"/>
              <w:left w:val="nil"/>
              <w:bottom w:val="nil"/>
              <w:right w:val="nil"/>
            </w:tcBorders>
            <w:vAlign w:val="bottom"/>
          </w:tcPr>
          <w:p w:rsidR="004618A4" w:rsidRPr="00525252" w:rsidRDefault="00D374C5" w:rsidP="004618A4">
            <w:pPr>
              <w:autoSpaceDE w:val="0"/>
              <w:autoSpaceDN w:val="0"/>
              <w:adjustRightInd w:val="0"/>
              <w:spacing w:after="0" w:line="240" w:lineRule="auto"/>
              <w:jc w:val="center"/>
              <w:rPr>
                <w:rFonts w:ascii="Times New Roman" w:hAnsi="Times New Roman" w:cs="Times New Roman"/>
                <w:b/>
                <w:color w:val="000000"/>
                <w:sz w:val="20"/>
                <w:szCs w:val="20"/>
              </w:rPr>
            </w:pPr>
            <w:r w:rsidRPr="00525252">
              <w:rPr>
                <w:rFonts w:ascii="Times New Roman" w:hAnsi="Times New Roman" w:cs="Times New Roman"/>
                <w:b/>
                <w:color w:val="000000"/>
                <w:sz w:val="20"/>
                <w:szCs w:val="20"/>
              </w:rPr>
              <w:t>Size Proxy</w:t>
            </w:r>
          </w:p>
        </w:tc>
        <w:tc>
          <w:tcPr>
            <w:tcW w:w="1103"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-0.244688</w:t>
            </w:r>
          </w:p>
        </w:tc>
        <w:tc>
          <w:tcPr>
            <w:tcW w:w="1207"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0.024582</w:t>
            </w:r>
          </w:p>
        </w:tc>
        <w:tc>
          <w:tcPr>
            <w:tcW w:w="1208"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-9.953988</w:t>
            </w:r>
          </w:p>
        </w:tc>
        <w:tc>
          <w:tcPr>
            <w:tcW w:w="997" w:type="dxa"/>
            <w:tcBorders>
              <w:top w:val="nil"/>
              <w:left w:val="nil"/>
              <w:bottom w:val="nil"/>
              <w:right w:val="nil"/>
            </w:tcBorders>
            <w:vAlign w:val="bottom"/>
          </w:tcPr>
          <w:p w:rsidR="004618A4" w:rsidRPr="00525252" w:rsidRDefault="00525252" w:rsidP="004618A4">
            <w:pPr>
              <w:autoSpaceDE w:val="0"/>
              <w:autoSpaceDN w:val="0"/>
              <w:adjustRightInd w:val="0"/>
              <w:spacing w:after="0" w:line="240" w:lineRule="auto"/>
              <w:ind w:right="10"/>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r>
      <w:tr w:rsidR="004618A4" w:rsidRPr="004618A4">
        <w:trPr>
          <w:trHeight w:val="225"/>
        </w:trPr>
        <w:tc>
          <w:tcPr>
            <w:tcW w:w="2017" w:type="dxa"/>
            <w:tcBorders>
              <w:top w:val="nil"/>
              <w:left w:val="nil"/>
              <w:bottom w:val="nil"/>
              <w:right w:val="nil"/>
            </w:tcBorders>
            <w:vAlign w:val="bottom"/>
          </w:tcPr>
          <w:p w:rsidR="004618A4" w:rsidRPr="00525252" w:rsidRDefault="00D374C5" w:rsidP="00D374C5">
            <w:pPr>
              <w:autoSpaceDE w:val="0"/>
              <w:autoSpaceDN w:val="0"/>
              <w:adjustRightInd w:val="0"/>
              <w:spacing w:after="0" w:line="240" w:lineRule="auto"/>
              <w:jc w:val="center"/>
              <w:rPr>
                <w:rFonts w:ascii="Times New Roman" w:hAnsi="Times New Roman" w:cs="Times New Roman"/>
                <w:b/>
                <w:color w:val="000000"/>
                <w:sz w:val="20"/>
                <w:szCs w:val="20"/>
              </w:rPr>
            </w:pPr>
            <w:r w:rsidRPr="00525252">
              <w:rPr>
                <w:rFonts w:ascii="Times New Roman" w:hAnsi="Times New Roman" w:cs="Times New Roman"/>
                <w:b/>
                <w:color w:val="000000"/>
                <w:sz w:val="20"/>
                <w:szCs w:val="20"/>
              </w:rPr>
              <w:t>Value Proxy</w:t>
            </w:r>
          </w:p>
        </w:tc>
        <w:tc>
          <w:tcPr>
            <w:tcW w:w="1103"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-0.774664</w:t>
            </w:r>
          </w:p>
        </w:tc>
        <w:tc>
          <w:tcPr>
            <w:tcW w:w="1207"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0.064543</w:t>
            </w:r>
          </w:p>
        </w:tc>
        <w:tc>
          <w:tcPr>
            <w:tcW w:w="1208"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-12.00231</w:t>
            </w:r>
          </w:p>
        </w:tc>
        <w:tc>
          <w:tcPr>
            <w:tcW w:w="997" w:type="dxa"/>
            <w:tcBorders>
              <w:top w:val="nil"/>
              <w:left w:val="nil"/>
              <w:bottom w:val="nil"/>
              <w:right w:val="nil"/>
            </w:tcBorders>
            <w:vAlign w:val="bottom"/>
          </w:tcPr>
          <w:p w:rsidR="004618A4" w:rsidRPr="00525252" w:rsidRDefault="00525252" w:rsidP="004618A4">
            <w:pPr>
              <w:autoSpaceDE w:val="0"/>
              <w:autoSpaceDN w:val="0"/>
              <w:adjustRightInd w:val="0"/>
              <w:spacing w:after="0" w:line="240" w:lineRule="auto"/>
              <w:ind w:right="10"/>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r>
      <w:tr w:rsidR="004618A4" w:rsidRPr="004618A4">
        <w:trPr>
          <w:trHeight w:hRule="exact" w:val="90"/>
        </w:trPr>
        <w:tc>
          <w:tcPr>
            <w:tcW w:w="2017" w:type="dxa"/>
            <w:tcBorders>
              <w:top w:val="nil"/>
              <w:left w:val="nil"/>
              <w:bottom w:val="double" w:sz="6" w:space="2" w:color="auto"/>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1103" w:type="dxa"/>
            <w:tcBorders>
              <w:top w:val="nil"/>
              <w:left w:val="nil"/>
              <w:bottom w:val="double" w:sz="6" w:space="2" w:color="auto"/>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1207" w:type="dxa"/>
            <w:tcBorders>
              <w:top w:val="nil"/>
              <w:left w:val="nil"/>
              <w:bottom w:val="double" w:sz="6" w:space="2" w:color="auto"/>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1208" w:type="dxa"/>
            <w:tcBorders>
              <w:top w:val="nil"/>
              <w:left w:val="nil"/>
              <w:bottom w:val="double" w:sz="6" w:space="2" w:color="auto"/>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997" w:type="dxa"/>
            <w:tcBorders>
              <w:top w:val="nil"/>
              <w:left w:val="nil"/>
              <w:bottom w:val="double" w:sz="6" w:space="2" w:color="auto"/>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r>
      <w:tr w:rsidR="004618A4" w:rsidRPr="004618A4">
        <w:trPr>
          <w:trHeight w:hRule="exact" w:val="135"/>
        </w:trPr>
        <w:tc>
          <w:tcPr>
            <w:tcW w:w="2017"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1103"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1207"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1208"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c>
          <w:tcPr>
            <w:tcW w:w="997" w:type="dxa"/>
            <w:tcBorders>
              <w:top w:val="nil"/>
              <w:left w:val="nil"/>
              <w:bottom w:val="nil"/>
              <w:right w:val="nil"/>
            </w:tcBorders>
            <w:vAlign w:val="bottom"/>
          </w:tcPr>
          <w:p w:rsidR="004618A4" w:rsidRPr="00525252" w:rsidRDefault="004618A4" w:rsidP="004618A4">
            <w:pPr>
              <w:autoSpaceDE w:val="0"/>
              <w:autoSpaceDN w:val="0"/>
              <w:adjustRightInd w:val="0"/>
              <w:spacing w:after="0" w:line="240" w:lineRule="auto"/>
              <w:jc w:val="center"/>
              <w:rPr>
                <w:rFonts w:ascii="Times New Roman" w:hAnsi="Times New Roman" w:cs="Times New Roman"/>
                <w:color w:val="000000"/>
                <w:sz w:val="20"/>
                <w:szCs w:val="20"/>
              </w:rPr>
            </w:pPr>
          </w:p>
        </w:tc>
      </w:tr>
      <w:tr w:rsidR="00525252" w:rsidRPr="00525252" w:rsidTr="004618A4">
        <w:trPr>
          <w:gridAfter w:val="3"/>
          <w:wAfter w:w="3412" w:type="dxa"/>
          <w:trHeight w:val="225"/>
        </w:trPr>
        <w:tc>
          <w:tcPr>
            <w:tcW w:w="2017"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rPr>
                <w:rFonts w:ascii="Times New Roman" w:hAnsi="Times New Roman" w:cs="Times New Roman"/>
                <w:color w:val="000000"/>
                <w:sz w:val="20"/>
                <w:szCs w:val="20"/>
              </w:rPr>
            </w:pPr>
            <w:r w:rsidRPr="00525252">
              <w:rPr>
                <w:rFonts w:ascii="Times New Roman" w:hAnsi="Times New Roman" w:cs="Times New Roman"/>
                <w:color w:val="000000"/>
                <w:sz w:val="20"/>
                <w:szCs w:val="20"/>
              </w:rPr>
              <w:t>R-squared</w:t>
            </w:r>
          </w:p>
        </w:tc>
        <w:tc>
          <w:tcPr>
            <w:tcW w:w="1103"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0.247773</w:t>
            </w:r>
          </w:p>
        </w:tc>
      </w:tr>
      <w:tr w:rsidR="00525252" w:rsidRPr="00525252" w:rsidTr="004618A4">
        <w:trPr>
          <w:gridAfter w:val="3"/>
          <w:wAfter w:w="3412" w:type="dxa"/>
          <w:trHeight w:val="225"/>
        </w:trPr>
        <w:tc>
          <w:tcPr>
            <w:tcW w:w="2017"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rPr>
                <w:rFonts w:ascii="Times New Roman" w:hAnsi="Times New Roman" w:cs="Times New Roman"/>
                <w:color w:val="000000"/>
                <w:sz w:val="20"/>
                <w:szCs w:val="20"/>
              </w:rPr>
            </w:pPr>
            <w:r w:rsidRPr="00525252">
              <w:rPr>
                <w:rFonts w:ascii="Times New Roman" w:hAnsi="Times New Roman" w:cs="Times New Roman"/>
                <w:color w:val="000000"/>
                <w:sz w:val="20"/>
                <w:szCs w:val="20"/>
              </w:rPr>
              <w:t>Adjusted R-squared</w:t>
            </w:r>
          </w:p>
        </w:tc>
        <w:tc>
          <w:tcPr>
            <w:tcW w:w="1103"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0.247735</w:t>
            </w:r>
          </w:p>
        </w:tc>
      </w:tr>
      <w:tr w:rsidR="00525252" w:rsidRPr="00525252" w:rsidTr="004618A4">
        <w:trPr>
          <w:gridAfter w:val="3"/>
          <w:wAfter w:w="3412" w:type="dxa"/>
          <w:trHeight w:val="225"/>
        </w:trPr>
        <w:tc>
          <w:tcPr>
            <w:tcW w:w="2017"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rPr>
                <w:rFonts w:ascii="Times New Roman" w:hAnsi="Times New Roman" w:cs="Times New Roman"/>
                <w:color w:val="000000"/>
                <w:sz w:val="20"/>
                <w:szCs w:val="20"/>
              </w:rPr>
            </w:pPr>
            <w:r w:rsidRPr="00525252">
              <w:rPr>
                <w:rFonts w:ascii="Times New Roman" w:hAnsi="Times New Roman" w:cs="Times New Roman"/>
                <w:color w:val="000000"/>
                <w:sz w:val="20"/>
                <w:szCs w:val="20"/>
              </w:rPr>
              <w:t>F-statistic</w:t>
            </w:r>
          </w:p>
        </w:tc>
        <w:tc>
          <w:tcPr>
            <w:tcW w:w="1103"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6535.576</w:t>
            </w:r>
          </w:p>
        </w:tc>
      </w:tr>
      <w:tr w:rsidR="00525252" w:rsidRPr="004618A4" w:rsidTr="004618A4">
        <w:trPr>
          <w:gridAfter w:val="3"/>
          <w:wAfter w:w="3412" w:type="dxa"/>
          <w:trHeight w:val="225"/>
        </w:trPr>
        <w:tc>
          <w:tcPr>
            <w:tcW w:w="2017"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rPr>
                <w:rFonts w:ascii="Times New Roman" w:hAnsi="Times New Roman" w:cs="Times New Roman"/>
                <w:color w:val="000000"/>
                <w:sz w:val="20"/>
                <w:szCs w:val="20"/>
              </w:rPr>
            </w:pPr>
            <w:r w:rsidRPr="00525252">
              <w:rPr>
                <w:rFonts w:ascii="Times New Roman" w:hAnsi="Times New Roman" w:cs="Times New Roman"/>
                <w:color w:val="000000"/>
                <w:sz w:val="20"/>
                <w:szCs w:val="20"/>
              </w:rPr>
              <w:t>Prob(F-statistic)</w:t>
            </w:r>
          </w:p>
        </w:tc>
        <w:tc>
          <w:tcPr>
            <w:tcW w:w="1103"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0.000000</w:t>
            </w:r>
          </w:p>
        </w:tc>
      </w:tr>
      <w:tr w:rsidR="00525252" w:rsidRPr="004618A4" w:rsidTr="004618A4">
        <w:trPr>
          <w:gridAfter w:val="3"/>
          <w:wAfter w:w="3412" w:type="dxa"/>
          <w:trHeight w:val="225"/>
        </w:trPr>
        <w:tc>
          <w:tcPr>
            <w:tcW w:w="2017"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rPr>
                <w:rFonts w:ascii="Times New Roman" w:hAnsi="Times New Roman" w:cs="Times New Roman"/>
                <w:color w:val="000000"/>
                <w:sz w:val="20"/>
                <w:szCs w:val="20"/>
              </w:rPr>
            </w:pPr>
          </w:p>
        </w:tc>
        <w:tc>
          <w:tcPr>
            <w:tcW w:w="1103" w:type="dxa"/>
            <w:tcBorders>
              <w:top w:val="nil"/>
              <w:left w:val="nil"/>
              <w:bottom w:val="nil"/>
              <w:right w:val="nil"/>
            </w:tcBorders>
            <w:vAlign w:val="bottom"/>
          </w:tcPr>
          <w:p w:rsidR="00525252" w:rsidRPr="00525252" w:rsidRDefault="00525252" w:rsidP="004618A4">
            <w:pPr>
              <w:autoSpaceDE w:val="0"/>
              <w:autoSpaceDN w:val="0"/>
              <w:adjustRightInd w:val="0"/>
              <w:spacing w:after="0" w:line="240" w:lineRule="auto"/>
              <w:ind w:right="10"/>
              <w:jc w:val="right"/>
              <w:rPr>
                <w:rFonts w:ascii="Times New Roman" w:hAnsi="Times New Roman" w:cs="Times New Roman"/>
                <w:color w:val="000000"/>
                <w:sz w:val="20"/>
                <w:szCs w:val="20"/>
              </w:rPr>
            </w:pPr>
          </w:p>
        </w:tc>
      </w:tr>
      <w:tr w:rsidR="00525252" w:rsidRPr="00525252" w:rsidTr="00D62170">
        <w:trPr>
          <w:trHeight w:val="225"/>
        </w:trPr>
        <w:tc>
          <w:tcPr>
            <w:tcW w:w="6532" w:type="dxa"/>
            <w:gridSpan w:val="5"/>
            <w:tcBorders>
              <w:top w:val="nil"/>
              <w:left w:val="nil"/>
              <w:bottom w:val="nil"/>
              <w:right w:val="nil"/>
            </w:tcBorders>
            <w:vAlign w:val="bottom"/>
          </w:tcPr>
          <w:p w:rsidR="004F1306" w:rsidRDefault="00525252" w:rsidP="005A0491">
            <w:pPr>
              <w:autoSpaceDE w:val="0"/>
              <w:autoSpaceDN w:val="0"/>
              <w:adjustRightInd w:val="0"/>
              <w:spacing w:after="0" w:line="240" w:lineRule="auto"/>
              <w:ind w:right="10"/>
              <w:jc w:val="cente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Non - </w:t>
            </w:r>
            <w:r w:rsidRPr="00525252">
              <w:rPr>
                <w:rFonts w:ascii="Times New Roman" w:hAnsi="Times New Roman" w:cs="Times New Roman"/>
                <w:b/>
                <w:color w:val="000000"/>
                <w:sz w:val="20"/>
                <w:szCs w:val="20"/>
              </w:rPr>
              <w:t>Futures Listed Stock (Overall)</w:t>
            </w:r>
          </w:p>
          <w:p w:rsidR="005A0491" w:rsidRPr="005A0491" w:rsidRDefault="005A0491" w:rsidP="005A0491">
            <w:pPr>
              <w:autoSpaceDE w:val="0"/>
              <w:autoSpaceDN w:val="0"/>
              <w:adjustRightInd w:val="0"/>
              <w:spacing w:after="0" w:line="240" w:lineRule="auto"/>
              <w:ind w:right="10"/>
              <w:jc w:val="center"/>
              <w:rPr>
                <w:rFonts w:ascii="Times New Roman" w:hAnsi="Times New Roman" w:cs="Times New Roman"/>
                <w:b/>
                <w:color w:val="000000"/>
                <w:sz w:val="20"/>
                <w:szCs w:val="20"/>
              </w:rPr>
            </w:pPr>
          </w:p>
        </w:tc>
      </w:tr>
      <w:tr w:rsidR="00525252" w:rsidRPr="00525252" w:rsidTr="00D62170">
        <w:trPr>
          <w:trHeight w:val="225"/>
        </w:trPr>
        <w:tc>
          <w:tcPr>
            <w:tcW w:w="201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b/>
                <w:color w:val="000000"/>
                <w:sz w:val="20"/>
                <w:szCs w:val="20"/>
              </w:rPr>
            </w:pPr>
            <w:r w:rsidRPr="00525252">
              <w:rPr>
                <w:rFonts w:ascii="Times New Roman" w:hAnsi="Times New Roman" w:cs="Times New Roman"/>
                <w:b/>
                <w:color w:val="000000"/>
                <w:sz w:val="20"/>
                <w:szCs w:val="20"/>
              </w:rPr>
              <w:t>Variable</w:t>
            </w:r>
          </w:p>
        </w:tc>
        <w:tc>
          <w:tcPr>
            <w:tcW w:w="1103"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b/>
                <w:color w:val="000000"/>
                <w:sz w:val="20"/>
                <w:szCs w:val="20"/>
              </w:rPr>
            </w:pPr>
            <w:r w:rsidRPr="00525252">
              <w:rPr>
                <w:rFonts w:ascii="Times New Roman" w:hAnsi="Times New Roman" w:cs="Times New Roman"/>
                <w:b/>
                <w:color w:val="000000"/>
                <w:sz w:val="20"/>
                <w:szCs w:val="20"/>
              </w:rPr>
              <w:t>Coefficient</w:t>
            </w:r>
          </w:p>
        </w:tc>
        <w:tc>
          <w:tcPr>
            <w:tcW w:w="120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b/>
                <w:color w:val="000000"/>
                <w:sz w:val="20"/>
                <w:szCs w:val="20"/>
              </w:rPr>
            </w:pPr>
            <w:r w:rsidRPr="00525252">
              <w:rPr>
                <w:rFonts w:ascii="Times New Roman" w:hAnsi="Times New Roman" w:cs="Times New Roman"/>
                <w:b/>
                <w:color w:val="000000"/>
                <w:sz w:val="20"/>
                <w:szCs w:val="20"/>
              </w:rPr>
              <w:t>Std. Error</w:t>
            </w:r>
          </w:p>
        </w:tc>
        <w:tc>
          <w:tcPr>
            <w:tcW w:w="1208"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b/>
                <w:color w:val="000000"/>
                <w:sz w:val="20"/>
                <w:szCs w:val="20"/>
              </w:rPr>
            </w:pPr>
            <w:r w:rsidRPr="00525252">
              <w:rPr>
                <w:rFonts w:ascii="Times New Roman" w:hAnsi="Times New Roman" w:cs="Times New Roman"/>
                <w:b/>
                <w:color w:val="000000"/>
                <w:sz w:val="20"/>
                <w:szCs w:val="20"/>
              </w:rPr>
              <w:t>t-Statistic</w:t>
            </w:r>
          </w:p>
        </w:tc>
        <w:tc>
          <w:tcPr>
            <w:tcW w:w="99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b/>
                <w:color w:val="000000"/>
                <w:sz w:val="20"/>
                <w:szCs w:val="20"/>
              </w:rPr>
            </w:pPr>
            <w:r w:rsidRPr="00525252">
              <w:rPr>
                <w:rFonts w:ascii="Times New Roman" w:hAnsi="Times New Roman" w:cs="Times New Roman"/>
                <w:b/>
                <w:color w:val="000000"/>
                <w:sz w:val="20"/>
                <w:szCs w:val="20"/>
              </w:rPr>
              <w:t>Prob.  </w:t>
            </w:r>
          </w:p>
        </w:tc>
      </w:tr>
      <w:tr w:rsidR="00525252" w:rsidRPr="00525252" w:rsidTr="00D62170">
        <w:trPr>
          <w:trHeight w:hRule="exact" w:val="90"/>
        </w:trPr>
        <w:tc>
          <w:tcPr>
            <w:tcW w:w="2017" w:type="dxa"/>
            <w:tcBorders>
              <w:top w:val="nil"/>
              <w:left w:val="nil"/>
              <w:bottom w:val="double" w:sz="6" w:space="2" w:color="auto"/>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1103" w:type="dxa"/>
            <w:tcBorders>
              <w:top w:val="nil"/>
              <w:left w:val="nil"/>
              <w:bottom w:val="double" w:sz="6" w:space="2" w:color="auto"/>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1207" w:type="dxa"/>
            <w:tcBorders>
              <w:top w:val="nil"/>
              <w:left w:val="nil"/>
              <w:bottom w:val="double" w:sz="6" w:space="2" w:color="auto"/>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1208" w:type="dxa"/>
            <w:tcBorders>
              <w:top w:val="nil"/>
              <w:left w:val="nil"/>
              <w:bottom w:val="double" w:sz="6" w:space="2" w:color="auto"/>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997" w:type="dxa"/>
            <w:tcBorders>
              <w:top w:val="nil"/>
              <w:left w:val="nil"/>
              <w:bottom w:val="double" w:sz="6" w:space="2" w:color="auto"/>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r>
      <w:tr w:rsidR="00525252" w:rsidRPr="00525252" w:rsidTr="00D62170">
        <w:trPr>
          <w:trHeight w:hRule="exact" w:val="135"/>
        </w:trPr>
        <w:tc>
          <w:tcPr>
            <w:tcW w:w="201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1103"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120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1208"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99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r>
      <w:tr w:rsidR="00525252" w:rsidRPr="00525252" w:rsidTr="00D62170">
        <w:trPr>
          <w:trHeight w:val="225"/>
        </w:trPr>
        <w:tc>
          <w:tcPr>
            <w:tcW w:w="201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r w:rsidRPr="00525252">
              <w:rPr>
                <w:rFonts w:ascii="Times New Roman" w:hAnsi="Times New Roman" w:cs="Times New Roman"/>
                <w:b/>
                <w:color w:val="000000"/>
                <w:sz w:val="20"/>
                <w:szCs w:val="20"/>
              </w:rPr>
              <w:t>Excess Market Return</w:t>
            </w:r>
          </w:p>
        </w:tc>
        <w:tc>
          <w:tcPr>
            <w:tcW w:w="1103"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-0.506507</w:t>
            </w:r>
          </w:p>
        </w:tc>
        <w:tc>
          <w:tcPr>
            <w:tcW w:w="120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1.027522</w:t>
            </w:r>
          </w:p>
        </w:tc>
        <w:tc>
          <w:tcPr>
            <w:tcW w:w="1208"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-0.492940</w:t>
            </w:r>
          </w:p>
        </w:tc>
        <w:tc>
          <w:tcPr>
            <w:tcW w:w="997" w:type="dxa"/>
            <w:tcBorders>
              <w:top w:val="nil"/>
              <w:left w:val="nil"/>
              <w:bottom w:val="nil"/>
              <w:right w:val="nil"/>
            </w:tcBorders>
            <w:vAlign w:val="bottom"/>
          </w:tcPr>
          <w:p w:rsidR="00525252" w:rsidRPr="00525252" w:rsidRDefault="002E6905"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Pr>
                <w:rFonts w:ascii="Times New Roman" w:hAnsi="Times New Roman" w:cs="Times New Roman"/>
                <w:color w:val="000000"/>
                <w:sz w:val="20"/>
                <w:szCs w:val="20"/>
              </w:rPr>
              <w:t>0.62</w:t>
            </w:r>
          </w:p>
        </w:tc>
      </w:tr>
      <w:tr w:rsidR="00525252" w:rsidRPr="00525252" w:rsidTr="00D62170">
        <w:trPr>
          <w:trHeight w:val="225"/>
        </w:trPr>
        <w:tc>
          <w:tcPr>
            <w:tcW w:w="201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r w:rsidRPr="00525252">
              <w:rPr>
                <w:rFonts w:ascii="Times New Roman" w:hAnsi="Times New Roman" w:cs="Times New Roman"/>
                <w:b/>
                <w:color w:val="000000"/>
                <w:sz w:val="20"/>
                <w:szCs w:val="20"/>
              </w:rPr>
              <w:t>Market Risk Premium</w:t>
            </w:r>
          </w:p>
        </w:tc>
        <w:tc>
          <w:tcPr>
            <w:tcW w:w="1103"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0.861026</w:t>
            </w:r>
          </w:p>
        </w:tc>
        <w:tc>
          <w:tcPr>
            <w:tcW w:w="120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0.011272</w:t>
            </w:r>
          </w:p>
        </w:tc>
        <w:tc>
          <w:tcPr>
            <w:tcW w:w="1208"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76.38776</w:t>
            </w:r>
          </w:p>
        </w:tc>
        <w:tc>
          <w:tcPr>
            <w:tcW w:w="99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r>
      <w:tr w:rsidR="00525252" w:rsidRPr="00525252" w:rsidTr="00D62170">
        <w:trPr>
          <w:trHeight w:val="225"/>
        </w:trPr>
        <w:tc>
          <w:tcPr>
            <w:tcW w:w="201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r w:rsidRPr="00525252">
              <w:rPr>
                <w:rFonts w:ascii="Times New Roman" w:hAnsi="Times New Roman" w:cs="Times New Roman"/>
                <w:b/>
                <w:color w:val="000000"/>
                <w:sz w:val="20"/>
                <w:szCs w:val="20"/>
              </w:rPr>
              <w:t>Size Proxy</w:t>
            </w:r>
          </w:p>
        </w:tc>
        <w:tc>
          <w:tcPr>
            <w:tcW w:w="1103"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0.074302</w:t>
            </w:r>
          </w:p>
        </w:tc>
        <w:tc>
          <w:tcPr>
            <w:tcW w:w="120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0.042544</w:t>
            </w:r>
          </w:p>
        </w:tc>
        <w:tc>
          <w:tcPr>
            <w:tcW w:w="1208"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1.746482</w:t>
            </w:r>
          </w:p>
        </w:tc>
        <w:tc>
          <w:tcPr>
            <w:tcW w:w="99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r>
      <w:tr w:rsidR="00525252" w:rsidRPr="00525252" w:rsidTr="00D62170">
        <w:trPr>
          <w:trHeight w:val="225"/>
        </w:trPr>
        <w:tc>
          <w:tcPr>
            <w:tcW w:w="201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r w:rsidRPr="00525252">
              <w:rPr>
                <w:rFonts w:ascii="Times New Roman" w:hAnsi="Times New Roman" w:cs="Times New Roman"/>
                <w:b/>
                <w:color w:val="000000"/>
                <w:sz w:val="20"/>
                <w:szCs w:val="20"/>
              </w:rPr>
              <w:t>Value Proxy</w:t>
            </w:r>
          </w:p>
        </w:tc>
        <w:tc>
          <w:tcPr>
            <w:tcW w:w="1103"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-0.773298</w:t>
            </w:r>
          </w:p>
        </w:tc>
        <w:tc>
          <w:tcPr>
            <w:tcW w:w="120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0.085027</w:t>
            </w:r>
          </w:p>
        </w:tc>
        <w:tc>
          <w:tcPr>
            <w:tcW w:w="1208"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-9.094713</w:t>
            </w:r>
          </w:p>
        </w:tc>
        <w:tc>
          <w:tcPr>
            <w:tcW w:w="99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r>
      <w:tr w:rsidR="00525252" w:rsidRPr="00525252" w:rsidTr="00D62170">
        <w:trPr>
          <w:trHeight w:hRule="exact" w:val="90"/>
        </w:trPr>
        <w:tc>
          <w:tcPr>
            <w:tcW w:w="2017" w:type="dxa"/>
            <w:tcBorders>
              <w:top w:val="nil"/>
              <w:left w:val="nil"/>
              <w:bottom w:val="double" w:sz="6" w:space="2" w:color="auto"/>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1103" w:type="dxa"/>
            <w:tcBorders>
              <w:top w:val="nil"/>
              <w:left w:val="nil"/>
              <w:bottom w:val="double" w:sz="6" w:space="2" w:color="auto"/>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1207" w:type="dxa"/>
            <w:tcBorders>
              <w:top w:val="nil"/>
              <w:left w:val="nil"/>
              <w:bottom w:val="double" w:sz="6" w:space="2" w:color="auto"/>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1208" w:type="dxa"/>
            <w:tcBorders>
              <w:top w:val="nil"/>
              <w:left w:val="nil"/>
              <w:bottom w:val="double" w:sz="6" w:space="2" w:color="auto"/>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997" w:type="dxa"/>
            <w:tcBorders>
              <w:top w:val="nil"/>
              <w:left w:val="nil"/>
              <w:bottom w:val="double" w:sz="6" w:space="2" w:color="auto"/>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r>
      <w:tr w:rsidR="00525252" w:rsidRPr="00525252" w:rsidTr="00D62170">
        <w:trPr>
          <w:trHeight w:hRule="exact" w:val="135"/>
        </w:trPr>
        <w:tc>
          <w:tcPr>
            <w:tcW w:w="201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1103"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120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1208"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c>
          <w:tcPr>
            <w:tcW w:w="99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jc w:val="center"/>
              <w:rPr>
                <w:rFonts w:ascii="Times New Roman" w:hAnsi="Times New Roman" w:cs="Times New Roman"/>
                <w:color w:val="000000"/>
                <w:sz w:val="20"/>
                <w:szCs w:val="20"/>
              </w:rPr>
            </w:pPr>
          </w:p>
        </w:tc>
      </w:tr>
      <w:tr w:rsidR="00525252" w:rsidRPr="00525252" w:rsidTr="00D62170">
        <w:trPr>
          <w:gridAfter w:val="3"/>
          <w:wAfter w:w="3412" w:type="dxa"/>
          <w:trHeight w:val="225"/>
        </w:trPr>
        <w:tc>
          <w:tcPr>
            <w:tcW w:w="201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rPr>
                <w:rFonts w:ascii="Times New Roman" w:hAnsi="Times New Roman" w:cs="Times New Roman"/>
                <w:color w:val="000000"/>
                <w:sz w:val="20"/>
                <w:szCs w:val="20"/>
              </w:rPr>
            </w:pPr>
            <w:r w:rsidRPr="00525252">
              <w:rPr>
                <w:rFonts w:ascii="Times New Roman" w:hAnsi="Times New Roman" w:cs="Times New Roman"/>
                <w:color w:val="000000"/>
                <w:sz w:val="20"/>
                <w:szCs w:val="20"/>
              </w:rPr>
              <w:t>R-squared</w:t>
            </w:r>
          </w:p>
        </w:tc>
        <w:tc>
          <w:tcPr>
            <w:tcW w:w="1103"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0.095718</w:t>
            </w:r>
          </w:p>
        </w:tc>
      </w:tr>
      <w:tr w:rsidR="00525252" w:rsidRPr="00525252" w:rsidTr="00D62170">
        <w:trPr>
          <w:gridAfter w:val="3"/>
          <w:wAfter w:w="3412" w:type="dxa"/>
          <w:trHeight w:val="225"/>
        </w:trPr>
        <w:tc>
          <w:tcPr>
            <w:tcW w:w="201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rPr>
                <w:rFonts w:ascii="Times New Roman" w:hAnsi="Times New Roman" w:cs="Times New Roman"/>
                <w:color w:val="000000"/>
                <w:sz w:val="20"/>
                <w:szCs w:val="20"/>
              </w:rPr>
            </w:pPr>
            <w:r w:rsidRPr="00525252">
              <w:rPr>
                <w:rFonts w:ascii="Times New Roman" w:hAnsi="Times New Roman" w:cs="Times New Roman"/>
                <w:color w:val="000000"/>
                <w:sz w:val="20"/>
                <w:szCs w:val="20"/>
              </w:rPr>
              <w:t>Adjusted R-squared</w:t>
            </w:r>
          </w:p>
        </w:tc>
        <w:tc>
          <w:tcPr>
            <w:tcW w:w="1103"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0.095669</w:t>
            </w:r>
          </w:p>
        </w:tc>
      </w:tr>
      <w:tr w:rsidR="00525252" w:rsidRPr="00525252" w:rsidTr="00D62170">
        <w:trPr>
          <w:gridAfter w:val="3"/>
          <w:wAfter w:w="3412" w:type="dxa"/>
          <w:trHeight w:val="225"/>
        </w:trPr>
        <w:tc>
          <w:tcPr>
            <w:tcW w:w="201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rPr>
                <w:rFonts w:ascii="Times New Roman" w:hAnsi="Times New Roman" w:cs="Times New Roman"/>
                <w:color w:val="000000"/>
                <w:sz w:val="20"/>
                <w:szCs w:val="20"/>
              </w:rPr>
            </w:pPr>
            <w:r w:rsidRPr="00525252">
              <w:rPr>
                <w:rFonts w:ascii="Times New Roman" w:hAnsi="Times New Roman" w:cs="Times New Roman"/>
                <w:color w:val="000000"/>
                <w:sz w:val="20"/>
                <w:szCs w:val="20"/>
              </w:rPr>
              <w:t>F-statistic</w:t>
            </w:r>
          </w:p>
        </w:tc>
        <w:tc>
          <w:tcPr>
            <w:tcW w:w="1103"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1954.440</w:t>
            </w:r>
          </w:p>
        </w:tc>
      </w:tr>
      <w:tr w:rsidR="00525252" w:rsidRPr="00525252" w:rsidTr="00D62170">
        <w:trPr>
          <w:gridAfter w:val="3"/>
          <w:wAfter w:w="3412" w:type="dxa"/>
          <w:trHeight w:val="225"/>
        </w:trPr>
        <w:tc>
          <w:tcPr>
            <w:tcW w:w="2017"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rPr>
                <w:rFonts w:ascii="Times New Roman" w:hAnsi="Times New Roman" w:cs="Times New Roman"/>
                <w:color w:val="000000"/>
                <w:sz w:val="20"/>
                <w:szCs w:val="20"/>
              </w:rPr>
            </w:pPr>
            <w:r w:rsidRPr="00525252">
              <w:rPr>
                <w:rFonts w:ascii="Times New Roman" w:hAnsi="Times New Roman" w:cs="Times New Roman"/>
                <w:color w:val="000000"/>
                <w:sz w:val="20"/>
                <w:szCs w:val="20"/>
              </w:rPr>
              <w:t>Prob(F-statistic)</w:t>
            </w:r>
          </w:p>
        </w:tc>
        <w:tc>
          <w:tcPr>
            <w:tcW w:w="1103" w:type="dxa"/>
            <w:tcBorders>
              <w:top w:val="nil"/>
              <w:left w:val="nil"/>
              <w:bottom w:val="nil"/>
              <w:right w:val="nil"/>
            </w:tcBorders>
            <w:vAlign w:val="bottom"/>
          </w:tcPr>
          <w:p w:rsidR="00525252" w:rsidRPr="00525252" w:rsidRDefault="00525252" w:rsidP="00525252">
            <w:pPr>
              <w:autoSpaceDE w:val="0"/>
              <w:autoSpaceDN w:val="0"/>
              <w:adjustRightInd w:val="0"/>
              <w:spacing w:after="0" w:line="240" w:lineRule="auto"/>
              <w:ind w:right="10"/>
              <w:jc w:val="right"/>
              <w:rPr>
                <w:rFonts w:ascii="Times New Roman" w:hAnsi="Times New Roman" w:cs="Times New Roman"/>
                <w:color w:val="000000"/>
                <w:sz w:val="20"/>
                <w:szCs w:val="20"/>
              </w:rPr>
            </w:pPr>
            <w:r w:rsidRPr="00525252">
              <w:rPr>
                <w:rFonts w:ascii="Times New Roman" w:hAnsi="Times New Roman" w:cs="Times New Roman"/>
                <w:color w:val="000000"/>
                <w:sz w:val="20"/>
                <w:szCs w:val="20"/>
              </w:rPr>
              <w:t>0.000000</w:t>
            </w:r>
          </w:p>
        </w:tc>
      </w:tr>
    </w:tbl>
    <w:p w:rsidR="00D332AA" w:rsidRDefault="00D332AA" w:rsidP="004618A4">
      <w:pPr>
        <w:spacing w:after="0"/>
        <w:rPr>
          <w:rFonts w:ascii="Arial" w:hAnsi="Arial" w:cs="Arial"/>
          <w:sz w:val="18"/>
          <w:szCs w:val="18"/>
        </w:rPr>
      </w:pPr>
    </w:p>
    <w:p w:rsidR="009D0C01" w:rsidRPr="003B3BF9" w:rsidRDefault="00D332AA" w:rsidP="00D332A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above table </w:t>
      </w:r>
      <w:r w:rsidR="00A035E2">
        <w:rPr>
          <w:rFonts w:ascii="Times New Roman" w:hAnsi="Times New Roman" w:cs="Times New Roman"/>
          <w:sz w:val="24"/>
          <w:szCs w:val="24"/>
        </w:rPr>
        <w:t>11</w:t>
      </w:r>
      <w:r>
        <w:rPr>
          <w:rFonts w:ascii="Times New Roman" w:hAnsi="Times New Roman" w:cs="Times New Roman"/>
          <w:sz w:val="24"/>
          <w:szCs w:val="24"/>
        </w:rPr>
        <w:t xml:space="preserve"> shows that in factor model, the alpha returns for futures listed portfolio are positive and significant (Co-efficient is 6.749). It means, when explaining through factor model, the alpha returns turned out to be better in presence of two other variables i.e. size and value. The market risk beta is 1.105. Whereas, the size beta is negative and significant for overall futures listed stocks, which means that small cap companies in this portfolio tend to outperform the large cap companies. The value beta also came out to be negative and significant which means that in this portfolio, value stocks tend to underperform the growth stocks. </w:t>
      </w:r>
    </w:p>
    <w:p w:rsidR="004618A4" w:rsidRDefault="004618A4" w:rsidP="004618A4">
      <w:pPr>
        <w:spacing w:after="0"/>
        <w:rPr>
          <w:rFonts w:ascii="Times New Roman" w:hAnsi="Times New Roman" w:cs="Times New Roman"/>
          <w:b/>
          <w:szCs w:val="24"/>
        </w:rPr>
      </w:pPr>
    </w:p>
    <w:p w:rsidR="0078087F" w:rsidRPr="00BC3346" w:rsidRDefault="00AD1A96" w:rsidP="009C33B6">
      <w:pPr>
        <w:spacing w:after="0" w:line="480" w:lineRule="auto"/>
        <w:jc w:val="both"/>
        <w:rPr>
          <w:rFonts w:ascii="Times New Roman" w:hAnsi="Times New Roman" w:cs="Times New Roman"/>
          <w:color w:val="000000" w:themeColor="text1"/>
          <w:sz w:val="24"/>
          <w:szCs w:val="18"/>
        </w:rPr>
      </w:pPr>
      <w:r w:rsidRPr="00BC3346">
        <w:rPr>
          <w:rFonts w:ascii="Times New Roman" w:hAnsi="Times New Roman" w:cs="Times New Roman"/>
          <w:color w:val="000000" w:themeColor="text1"/>
          <w:sz w:val="24"/>
          <w:szCs w:val="18"/>
        </w:rPr>
        <w:t>The second half</w:t>
      </w:r>
      <w:r w:rsidR="003F381B" w:rsidRPr="00BC3346">
        <w:rPr>
          <w:rFonts w:ascii="Times New Roman" w:hAnsi="Times New Roman" w:cs="Times New Roman"/>
          <w:color w:val="000000" w:themeColor="text1"/>
          <w:sz w:val="24"/>
          <w:szCs w:val="18"/>
        </w:rPr>
        <w:t xml:space="preserve"> of table 11</w:t>
      </w:r>
      <w:r w:rsidR="00E665B5" w:rsidRPr="00BC3346">
        <w:rPr>
          <w:rFonts w:ascii="Times New Roman" w:hAnsi="Times New Roman" w:cs="Times New Roman"/>
          <w:color w:val="000000" w:themeColor="text1"/>
          <w:sz w:val="24"/>
          <w:szCs w:val="18"/>
        </w:rPr>
        <w:t>,</w:t>
      </w:r>
      <w:r w:rsidR="00BF5176" w:rsidRPr="00BC3346">
        <w:rPr>
          <w:rFonts w:ascii="Times New Roman" w:hAnsi="Times New Roman" w:cs="Times New Roman"/>
          <w:color w:val="000000" w:themeColor="text1"/>
          <w:sz w:val="24"/>
          <w:szCs w:val="18"/>
        </w:rPr>
        <w:t xml:space="preserve"> however, illustrates that the alpha returns for non-futures listed portfolio are negative and insignificant (co-efficient is -0.506</w:t>
      </w:r>
      <w:r w:rsidR="00962EF3" w:rsidRPr="00BC3346">
        <w:rPr>
          <w:rFonts w:ascii="Times New Roman" w:hAnsi="Times New Roman" w:cs="Times New Roman"/>
          <w:color w:val="000000" w:themeColor="text1"/>
          <w:sz w:val="24"/>
          <w:szCs w:val="18"/>
        </w:rPr>
        <w:t xml:space="preserve">). Whereas, the size beta is positive and insignificant for this portfolio as </w:t>
      </w:r>
      <w:r w:rsidR="00FE1166" w:rsidRPr="00BC3346">
        <w:rPr>
          <w:rFonts w:ascii="Times New Roman" w:hAnsi="Times New Roman" w:cs="Times New Roman"/>
          <w:color w:val="000000" w:themeColor="text1"/>
          <w:sz w:val="24"/>
          <w:szCs w:val="18"/>
        </w:rPr>
        <w:t>its</w:t>
      </w:r>
      <w:r w:rsidR="00962EF3" w:rsidRPr="00BC3346">
        <w:rPr>
          <w:rFonts w:ascii="Times New Roman" w:hAnsi="Times New Roman" w:cs="Times New Roman"/>
          <w:color w:val="000000" w:themeColor="text1"/>
          <w:sz w:val="24"/>
          <w:szCs w:val="18"/>
        </w:rPr>
        <w:t xml:space="preserve"> p-value is greater than 0.05</w:t>
      </w:r>
      <w:r w:rsidR="005A3246" w:rsidRPr="00BC3346">
        <w:rPr>
          <w:rFonts w:ascii="Times New Roman" w:hAnsi="Times New Roman" w:cs="Times New Roman"/>
          <w:color w:val="000000" w:themeColor="text1"/>
          <w:sz w:val="24"/>
          <w:szCs w:val="18"/>
        </w:rPr>
        <w:t xml:space="preserve">. </w:t>
      </w:r>
      <w:r w:rsidR="00FE1166" w:rsidRPr="00BC3346">
        <w:rPr>
          <w:rFonts w:ascii="Times New Roman" w:hAnsi="Times New Roman" w:cs="Times New Roman"/>
          <w:color w:val="000000" w:themeColor="text1"/>
          <w:sz w:val="24"/>
          <w:szCs w:val="18"/>
        </w:rPr>
        <w:t>Nevertheless,</w:t>
      </w:r>
      <w:r w:rsidR="00BD6274" w:rsidRPr="00BC3346">
        <w:rPr>
          <w:rFonts w:ascii="Times New Roman" w:hAnsi="Times New Roman" w:cs="Times New Roman"/>
          <w:color w:val="000000" w:themeColor="text1"/>
          <w:sz w:val="24"/>
          <w:szCs w:val="18"/>
        </w:rPr>
        <w:t xml:space="preserve"> the value beta remained negative and significant for this portfolio as well. It means in this portfolio, growth stocks are likely to outperform the value stocks. </w:t>
      </w:r>
    </w:p>
    <w:p w:rsidR="0078087F" w:rsidRDefault="0078087F" w:rsidP="0078087F">
      <w:pPr>
        <w:spacing w:after="0" w:line="480" w:lineRule="auto"/>
        <w:jc w:val="both"/>
        <w:rPr>
          <w:rFonts w:ascii="Times New Roman" w:hAnsi="Times New Roman" w:cs="Times New Roman"/>
          <w:sz w:val="24"/>
        </w:rPr>
      </w:pPr>
      <w:r w:rsidRPr="00BC3346">
        <w:rPr>
          <w:rFonts w:ascii="Times New Roman" w:hAnsi="Times New Roman" w:cs="Times New Roman"/>
          <w:sz w:val="24"/>
        </w:rPr>
        <w:t xml:space="preserve">Now, we further estimated the factor model over a given time span and the results are displayed in </w:t>
      </w:r>
      <w:r w:rsidR="003F381B" w:rsidRPr="00BC3346">
        <w:rPr>
          <w:rFonts w:ascii="Times New Roman" w:hAnsi="Times New Roman" w:cs="Times New Roman"/>
          <w:sz w:val="24"/>
        </w:rPr>
        <w:t>table 12</w:t>
      </w:r>
      <w:r w:rsidRPr="00BC3346">
        <w:rPr>
          <w:rFonts w:ascii="Times New Roman" w:hAnsi="Times New Roman" w:cs="Times New Roman"/>
          <w:sz w:val="24"/>
        </w:rPr>
        <w:t>.</w:t>
      </w:r>
    </w:p>
    <w:p w:rsidR="0025378B" w:rsidRDefault="0025378B" w:rsidP="0078087F">
      <w:pPr>
        <w:spacing w:after="0" w:line="480" w:lineRule="auto"/>
        <w:jc w:val="both"/>
        <w:rPr>
          <w:rFonts w:ascii="Times New Roman" w:hAnsi="Times New Roman" w:cs="Times New Roman"/>
          <w:sz w:val="24"/>
        </w:rPr>
      </w:pPr>
    </w:p>
    <w:p w:rsidR="0025378B" w:rsidRDefault="0025378B" w:rsidP="0078087F">
      <w:pPr>
        <w:spacing w:after="0" w:line="480" w:lineRule="auto"/>
        <w:jc w:val="both"/>
        <w:rPr>
          <w:rFonts w:ascii="Times New Roman" w:hAnsi="Times New Roman" w:cs="Times New Roman"/>
          <w:sz w:val="24"/>
        </w:rPr>
      </w:pPr>
    </w:p>
    <w:p w:rsidR="0025378B" w:rsidRDefault="0025378B" w:rsidP="0078087F">
      <w:pPr>
        <w:spacing w:after="0" w:line="480" w:lineRule="auto"/>
        <w:jc w:val="both"/>
        <w:rPr>
          <w:rFonts w:ascii="Times New Roman" w:hAnsi="Times New Roman" w:cs="Times New Roman"/>
          <w:sz w:val="24"/>
        </w:rPr>
      </w:pPr>
    </w:p>
    <w:p w:rsidR="0025378B" w:rsidRDefault="0025378B" w:rsidP="0078087F">
      <w:pPr>
        <w:spacing w:after="0" w:line="480" w:lineRule="auto"/>
        <w:jc w:val="both"/>
        <w:rPr>
          <w:rFonts w:ascii="Times New Roman" w:hAnsi="Times New Roman" w:cs="Times New Roman"/>
          <w:sz w:val="24"/>
        </w:rPr>
      </w:pPr>
    </w:p>
    <w:p w:rsidR="0025378B" w:rsidRDefault="0025378B" w:rsidP="0078087F">
      <w:pPr>
        <w:spacing w:after="0" w:line="480" w:lineRule="auto"/>
        <w:jc w:val="both"/>
        <w:rPr>
          <w:rFonts w:ascii="Times New Roman" w:hAnsi="Times New Roman" w:cs="Times New Roman"/>
          <w:sz w:val="24"/>
        </w:rPr>
      </w:pPr>
    </w:p>
    <w:p w:rsidR="0025378B" w:rsidRDefault="0025378B" w:rsidP="0078087F">
      <w:pPr>
        <w:spacing w:after="0" w:line="480" w:lineRule="auto"/>
        <w:jc w:val="both"/>
        <w:rPr>
          <w:rFonts w:ascii="Times New Roman" w:hAnsi="Times New Roman" w:cs="Times New Roman"/>
          <w:sz w:val="24"/>
        </w:rPr>
      </w:pPr>
    </w:p>
    <w:p w:rsidR="0025378B" w:rsidRDefault="0025378B" w:rsidP="0078087F">
      <w:pPr>
        <w:spacing w:after="0" w:line="480" w:lineRule="auto"/>
        <w:jc w:val="both"/>
        <w:rPr>
          <w:rFonts w:ascii="Times New Roman" w:hAnsi="Times New Roman" w:cs="Times New Roman"/>
          <w:sz w:val="24"/>
        </w:rPr>
      </w:pPr>
    </w:p>
    <w:p w:rsidR="003F381B" w:rsidRDefault="003F381B" w:rsidP="0078087F">
      <w:pPr>
        <w:spacing w:after="0" w:line="480" w:lineRule="auto"/>
        <w:jc w:val="both"/>
        <w:rPr>
          <w:rFonts w:ascii="Times New Roman" w:hAnsi="Times New Roman" w:cs="Times New Roman"/>
          <w:sz w:val="24"/>
        </w:rPr>
      </w:pPr>
    </w:p>
    <w:p w:rsidR="0025378B" w:rsidRPr="009C33B6" w:rsidRDefault="0025378B" w:rsidP="0078087F">
      <w:pPr>
        <w:spacing w:after="0" w:line="480" w:lineRule="auto"/>
        <w:jc w:val="both"/>
        <w:rPr>
          <w:rFonts w:ascii="Times New Roman" w:hAnsi="Times New Roman" w:cs="Times New Roman"/>
          <w:color w:val="000000" w:themeColor="text1"/>
          <w:sz w:val="24"/>
        </w:rPr>
      </w:pPr>
    </w:p>
    <w:p w:rsidR="00AB1D67" w:rsidRPr="00AB1D67" w:rsidRDefault="00AB1D67" w:rsidP="00AB1D67">
      <w:pPr>
        <w:spacing w:after="0" w:line="24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Tab</w:t>
      </w:r>
      <w:r w:rsidR="00A035E2">
        <w:rPr>
          <w:rFonts w:ascii="Times New Roman" w:eastAsiaTheme="minorEastAsia" w:hAnsi="Times New Roman" w:cs="Times New Roman"/>
          <w:b/>
          <w:sz w:val="24"/>
          <w:szCs w:val="24"/>
        </w:rPr>
        <w:t>le 12</w:t>
      </w:r>
      <w:r w:rsidRPr="00492ABD">
        <w:rPr>
          <w:rFonts w:ascii="Times New Roman" w:eastAsiaTheme="minorEastAsia" w:hAnsi="Times New Roman" w:cs="Times New Roman"/>
          <w:b/>
          <w:sz w:val="24"/>
          <w:szCs w:val="24"/>
        </w:rPr>
        <w:t xml:space="preserve">: </w:t>
      </w:r>
      <w:r w:rsidR="00810396">
        <w:rPr>
          <w:rFonts w:ascii="Times New Roman" w:eastAsiaTheme="minorEastAsia" w:hAnsi="Times New Roman" w:cs="Times New Roman"/>
          <w:b/>
          <w:sz w:val="24"/>
          <w:szCs w:val="24"/>
        </w:rPr>
        <w:t xml:space="preserve">Multiple </w:t>
      </w:r>
      <w:r>
        <w:rPr>
          <w:rFonts w:ascii="Times New Roman" w:eastAsiaTheme="minorEastAsia" w:hAnsi="Times New Roman" w:cs="Times New Roman"/>
          <w:b/>
          <w:sz w:val="24"/>
          <w:szCs w:val="24"/>
        </w:rPr>
        <w:t>Factor Model</w:t>
      </w:r>
    </w:p>
    <w:tbl>
      <w:tblPr>
        <w:tblpPr w:leftFromText="180" w:rightFromText="180" w:vertAnchor="text" w:horzAnchor="margin" w:tblpXSpec="center" w:tblpY="505"/>
        <w:tblW w:w="12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27"/>
        <w:gridCol w:w="881"/>
        <w:gridCol w:w="1100"/>
        <w:gridCol w:w="768"/>
        <w:gridCol w:w="1102"/>
        <w:gridCol w:w="838"/>
        <w:gridCol w:w="1103"/>
        <w:gridCol w:w="889"/>
        <w:gridCol w:w="1103"/>
        <w:gridCol w:w="1350"/>
        <w:gridCol w:w="992"/>
      </w:tblGrid>
      <w:tr w:rsidR="00FB1819" w:rsidRPr="00FB1819" w:rsidTr="005C6799">
        <w:trPr>
          <w:trHeight w:val="606"/>
        </w:trPr>
        <w:tc>
          <w:tcPr>
            <w:tcW w:w="1916" w:type="dxa"/>
            <w:shd w:val="clear" w:color="auto" w:fill="auto"/>
            <w:noWrap/>
            <w:vAlign w:val="bottom"/>
            <w:hideMark/>
          </w:tcPr>
          <w:p w:rsidR="00FB1819" w:rsidRPr="00FB1819" w:rsidRDefault="00FB1819" w:rsidP="00FB1819">
            <w:pPr>
              <w:spacing w:after="0" w:line="240" w:lineRule="auto"/>
              <w:jc w:val="center"/>
              <w:rPr>
                <w:rFonts w:ascii="Times New Roman" w:eastAsia="Times New Roman" w:hAnsi="Times New Roman" w:cs="Times New Roman"/>
                <w:b/>
                <w:bCs/>
                <w:color w:val="000000"/>
                <w:sz w:val="20"/>
                <w:szCs w:val="20"/>
              </w:rPr>
            </w:pPr>
            <w:r w:rsidRPr="00FB1819">
              <w:rPr>
                <w:rFonts w:ascii="Times New Roman" w:eastAsia="Times New Roman" w:hAnsi="Times New Roman" w:cs="Times New Roman"/>
                <w:b/>
                <w:bCs/>
                <w:color w:val="000000"/>
                <w:sz w:val="20"/>
                <w:szCs w:val="20"/>
              </w:rPr>
              <w:t>Period</w:t>
            </w:r>
          </w:p>
        </w:tc>
        <w:tc>
          <w:tcPr>
            <w:tcW w:w="1981" w:type="dxa"/>
            <w:gridSpan w:val="2"/>
            <w:shd w:val="clear" w:color="auto" w:fill="auto"/>
            <w:noWrap/>
            <w:vAlign w:val="center"/>
            <w:hideMark/>
          </w:tcPr>
          <w:p w:rsidR="00FB1819" w:rsidRPr="00FB1819" w:rsidRDefault="00FB1819" w:rsidP="00FB1819">
            <w:pPr>
              <w:spacing w:after="0" w:line="240" w:lineRule="auto"/>
              <w:jc w:val="center"/>
              <w:rPr>
                <w:rFonts w:ascii="Times New Roman" w:eastAsia="Times New Roman" w:hAnsi="Times New Roman" w:cs="Times New Roman"/>
                <w:b/>
                <w:bCs/>
                <w:color w:val="000000"/>
                <w:sz w:val="20"/>
                <w:szCs w:val="20"/>
              </w:rPr>
            </w:pPr>
            <w:r w:rsidRPr="00FB1819">
              <w:rPr>
                <w:rFonts w:ascii="Times New Roman" w:eastAsia="Times New Roman" w:hAnsi="Times New Roman" w:cs="Times New Roman"/>
                <w:b/>
                <w:bCs/>
                <w:color w:val="000000"/>
                <w:sz w:val="20"/>
                <w:szCs w:val="20"/>
              </w:rPr>
              <w:t>α</w:t>
            </w:r>
            <w:r w:rsidRPr="00FB1819">
              <w:rPr>
                <w:rFonts w:ascii="Times New Roman" w:eastAsia="Times New Roman" w:hAnsi="Times New Roman" w:cs="Times New Roman"/>
                <w:b/>
                <w:bCs/>
                <w:color w:val="000000"/>
                <w:sz w:val="20"/>
                <w:szCs w:val="20"/>
                <w:vertAlign w:val="subscript"/>
              </w:rPr>
              <w:t>i</w:t>
            </w:r>
          </w:p>
        </w:tc>
        <w:tc>
          <w:tcPr>
            <w:tcW w:w="1870" w:type="dxa"/>
            <w:gridSpan w:val="2"/>
            <w:shd w:val="clear" w:color="auto" w:fill="auto"/>
            <w:noWrap/>
            <w:vAlign w:val="center"/>
            <w:hideMark/>
          </w:tcPr>
          <w:p w:rsidR="00FB1819" w:rsidRPr="00FB1819" w:rsidRDefault="00FB1819" w:rsidP="00FB1819">
            <w:pPr>
              <w:spacing w:after="0" w:line="240" w:lineRule="auto"/>
              <w:jc w:val="center"/>
              <w:rPr>
                <w:rFonts w:ascii="Times New Roman" w:eastAsia="Times New Roman" w:hAnsi="Times New Roman" w:cs="Times New Roman"/>
                <w:b/>
                <w:bCs/>
                <w:color w:val="000000"/>
                <w:sz w:val="20"/>
                <w:szCs w:val="20"/>
              </w:rPr>
            </w:pPr>
            <w:r w:rsidRPr="00FB1819">
              <w:rPr>
                <w:rFonts w:ascii="Times New Roman" w:eastAsia="Times New Roman" w:hAnsi="Times New Roman" w:cs="Times New Roman"/>
                <w:b/>
                <w:bCs/>
                <w:color w:val="000000"/>
                <w:sz w:val="20"/>
                <w:szCs w:val="20"/>
              </w:rPr>
              <w:t>β</w:t>
            </w:r>
            <w:r w:rsidRPr="00FB1819">
              <w:rPr>
                <w:rFonts w:ascii="Times New Roman" w:eastAsia="Times New Roman" w:hAnsi="Times New Roman" w:cs="Times New Roman"/>
                <w:b/>
                <w:bCs/>
                <w:color w:val="000000"/>
                <w:sz w:val="20"/>
                <w:szCs w:val="20"/>
                <w:vertAlign w:val="subscript"/>
              </w:rPr>
              <w:t>i</w:t>
            </w:r>
          </w:p>
        </w:tc>
        <w:tc>
          <w:tcPr>
            <w:tcW w:w="1941" w:type="dxa"/>
            <w:gridSpan w:val="2"/>
            <w:shd w:val="clear" w:color="auto" w:fill="auto"/>
            <w:noWrap/>
            <w:vAlign w:val="center"/>
            <w:hideMark/>
          </w:tcPr>
          <w:p w:rsidR="00FB1819" w:rsidRPr="00FB1819" w:rsidRDefault="00FB1819" w:rsidP="00FB1819">
            <w:pPr>
              <w:spacing w:after="0" w:line="240" w:lineRule="auto"/>
              <w:jc w:val="center"/>
              <w:rPr>
                <w:rFonts w:ascii="Times New Roman" w:eastAsia="Times New Roman" w:hAnsi="Times New Roman" w:cs="Times New Roman"/>
                <w:b/>
                <w:bCs/>
                <w:color w:val="000000"/>
                <w:sz w:val="20"/>
                <w:szCs w:val="20"/>
              </w:rPr>
            </w:pPr>
            <w:r w:rsidRPr="00FB1819">
              <w:rPr>
                <w:rFonts w:ascii="Times New Roman" w:eastAsia="Times New Roman" w:hAnsi="Times New Roman" w:cs="Times New Roman"/>
                <w:b/>
                <w:bCs/>
                <w:color w:val="000000"/>
                <w:sz w:val="20"/>
                <w:szCs w:val="20"/>
              </w:rPr>
              <w:t>β</w:t>
            </w:r>
            <w:r w:rsidRPr="00FB1819">
              <w:rPr>
                <w:rFonts w:ascii="Times New Roman" w:eastAsia="Times New Roman" w:hAnsi="Times New Roman" w:cs="Times New Roman"/>
                <w:b/>
                <w:bCs/>
                <w:color w:val="000000"/>
                <w:sz w:val="20"/>
                <w:szCs w:val="20"/>
                <w:vertAlign w:val="subscript"/>
              </w:rPr>
              <w:t>is</w:t>
            </w:r>
          </w:p>
        </w:tc>
        <w:tc>
          <w:tcPr>
            <w:tcW w:w="1992" w:type="dxa"/>
            <w:gridSpan w:val="2"/>
            <w:shd w:val="clear" w:color="auto" w:fill="auto"/>
            <w:noWrap/>
            <w:vAlign w:val="center"/>
            <w:hideMark/>
          </w:tcPr>
          <w:p w:rsidR="00FB1819" w:rsidRPr="00FB1819" w:rsidRDefault="00FB1819" w:rsidP="00FB1819">
            <w:pPr>
              <w:spacing w:after="0" w:line="240" w:lineRule="auto"/>
              <w:jc w:val="center"/>
              <w:rPr>
                <w:rFonts w:ascii="Times New Roman" w:eastAsia="Times New Roman" w:hAnsi="Times New Roman" w:cs="Times New Roman"/>
                <w:b/>
                <w:bCs/>
                <w:color w:val="000000"/>
                <w:sz w:val="20"/>
                <w:szCs w:val="20"/>
              </w:rPr>
            </w:pPr>
            <w:r w:rsidRPr="00FB1819">
              <w:rPr>
                <w:rFonts w:ascii="Times New Roman" w:eastAsia="Times New Roman" w:hAnsi="Times New Roman" w:cs="Times New Roman"/>
                <w:b/>
                <w:bCs/>
                <w:color w:val="000000"/>
                <w:sz w:val="20"/>
                <w:szCs w:val="20"/>
              </w:rPr>
              <w:t>β</w:t>
            </w:r>
            <w:r w:rsidR="00296425">
              <w:rPr>
                <w:rFonts w:ascii="Times New Roman" w:eastAsia="Times New Roman" w:hAnsi="Times New Roman" w:cs="Times New Roman"/>
                <w:b/>
                <w:bCs/>
                <w:color w:val="000000"/>
                <w:sz w:val="20"/>
                <w:szCs w:val="20"/>
                <w:vertAlign w:val="subscript"/>
              </w:rPr>
              <w:t>ih</w:t>
            </w:r>
          </w:p>
        </w:tc>
        <w:tc>
          <w:tcPr>
            <w:tcW w:w="1350" w:type="dxa"/>
            <w:shd w:val="clear" w:color="auto" w:fill="auto"/>
            <w:vAlign w:val="bottom"/>
            <w:hideMark/>
          </w:tcPr>
          <w:p w:rsidR="00FB1819" w:rsidRPr="00FB1819" w:rsidRDefault="003002FA" w:rsidP="00FB1819">
            <w:pPr>
              <w:spacing w:after="0" w:line="240" w:lineRule="auto"/>
              <w:rPr>
                <w:rFonts w:ascii="Times New Roman" w:eastAsia="Times New Roman" w:hAnsi="Times New Roman" w:cs="Times New Roman"/>
                <w:b/>
                <w:bCs/>
                <w:color w:val="000000"/>
                <w:sz w:val="20"/>
                <w:szCs w:val="20"/>
              </w:rPr>
            </w:pPr>
            <w:r w:rsidRPr="00FB1819">
              <w:rPr>
                <w:rFonts w:ascii="Times New Roman" w:eastAsia="Times New Roman" w:hAnsi="Times New Roman" w:cs="Times New Roman"/>
                <w:b/>
                <w:bCs/>
                <w:color w:val="000000"/>
                <w:sz w:val="20"/>
                <w:szCs w:val="20"/>
              </w:rPr>
              <w:t>Observ</w:t>
            </w:r>
            <w:r>
              <w:rPr>
                <w:rFonts w:ascii="Times New Roman" w:eastAsia="Times New Roman" w:hAnsi="Times New Roman" w:cs="Times New Roman"/>
                <w:b/>
                <w:bCs/>
                <w:color w:val="000000"/>
                <w:sz w:val="20"/>
                <w:szCs w:val="20"/>
              </w:rPr>
              <w:t>a</w:t>
            </w:r>
            <w:r w:rsidRPr="00FB1819">
              <w:rPr>
                <w:rFonts w:ascii="Times New Roman" w:eastAsia="Times New Roman" w:hAnsi="Times New Roman" w:cs="Times New Roman"/>
                <w:b/>
                <w:bCs/>
                <w:color w:val="000000"/>
                <w:sz w:val="20"/>
                <w:szCs w:val="20"/>
              </w:rPr>
              <w:t>tions</w:t>
            </w:r>
          </w:p>
        </w:tc>
        <w:tc>
          <w:tcPr>
            <w:tcW w:w="992" w:type="dxa"/>
            <w:shd w:val="clear" w:color="auto" w:fill="auto"/>
            <w:vAlign w:val="bottom"/>
            <w:hideMark/>
          </w:tcPr>
          <w:p w:rsidR="00FB1819" w:rsidRPr="00FB1819" w:rsidRDefault="00FB1819" w:rsidP="00FB1819">
            <w:pPr>
              <w:spacing w:after="0" w:line="240" w:lineRule="auto"/>
              <w:rPr>
                <w:rFonts w:ascii="Times New Roman" w:eastAsia="Times New Roman" w:hAnsi="Times New Roman" w:cs="Times New Roman"/>
                <w:b/>
                <w:bCs/>
                <w:color w:val="000000"/>
                <w:sz w:val="20"/>
                <w:szCs w:val="20"/>
              </w:rPr>
            </w:pPr>
            <w:r w:rsidRPr="00FB1819">
              <w:rPr>
                <w:rFonts w:ascii="Times New Roman" w:eastAsia="Times New Roman" w:hAnsi="Times New Roman" w:cs="Times New Roman"/>
                <w:b/>
                <w:bCs/>
                <w:color w:val="000000"/>
                <w:sz w:val="20"/>
                <w:szCs w:val="20"/>
              </w:rPr>
              <w:t>R-squared</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13H1</w:t>
            </w:r>
            <w:r w:rsidRPr="003A0F6F">
              <w:rPr>
                <w:rFonts w:ascii="Times New Roman" w:eastAsia="Times New Roman" w:hAnsi="Times New Roman" w:cs="Times New Roman"/>
                <w:b/>
                <w:bCs/>
                <w:color w:val="000000"/>
                <w:sz w:val="20"/>
                <w:szCs w:val="20"/>
              </w:rPr>
              <w:t>_Portfolio_FL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2.9286</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(0.6644)**</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1.0277</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(0.0075)**</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-0.1233</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(0.0259)**</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-0.3481</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(0.0633)**</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39150</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0.3222</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13H1</w:t>
            </w:r>
            <w:r w:rsidRPr="003A0F6F">
              <w:rPr>
                <w:rFonts w:ascii="Times New Roman" w:eastAsia="Times New Roman" w:hAnsi="Times New Roman" w:cs="Times New Roman"/>
                <w:b/>
                <w:bCs/>
                <w:color w:val="000000"/>
                <w:sz w:val="20"/>
                <w:szCs w:val="20"/>
              </w:rPr>
              <w:t>_Portfolio_NFL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1.661</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(0.7716)*</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0.9675</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(0.0096)**</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-0.0105</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-0.0318</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-0.9349</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(0.0726)**</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75776</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0.1192</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13H2</w:t>
            </w:r>
            <w:r w:rsidRPr="003A0F6F">
              <w:rPr>
                <w:rFonts w:ascii="Times New Roman" w:eastAsia="Times New Roman" w:hAnsi="Times New Roman" w:cs="Times New Roman"/>
                <w:b/>
                <w:bCs/>
                <w:color w:val="000000"/>
                <w:sz w:val="20"/>
                <w:szCs w:val="20"/>
              </w:rPr>
              <w:t>_Portfolio_FL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3.2228</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(0.6863)**</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1.0819</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(0.0079)**</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-0.125</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(0.0266)**</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-0.5422</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(0.0664)**</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39150</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0.3243</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13H2</w:t>
            </w:r>
            <w:r w:rsidRPr="003A0F6F">
              <w:rPr>
                <w:rFonts w:ascii="Times New Roman" w:eastAsia="Times New Roman" w:hAnsi="Times New Roman" w:cs="Times New Roman"/>
                <w:b/>
                <w:bCs/>
                <w:color w:val="000000"/>
                <w:sz w:val="20"/>
                <w:szCs w:val="20"/>
              </w:rPr>
              <w:t>_Portfolio_NFL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1.9554</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(0.7995)*</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0.9389</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(0.0095)**</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-0.0268</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-0.033</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-0.8456</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(0.0722)**</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75776</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0.1146</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14H1</w:t>
            </w:r>
            <w:r w:rsidRPr="003A0F6F">
              <w:rPr>
                <w:rFonts w:ascii="Times New Roman" w:eastAsia="Times New Roman" w:hAnsi="Times New Roman" w:cs="Times New Roman"/>
                <w:b/>
                <w:bCs/>
                <w:color w:val="000000"/>
                <w:sz w:val="20"/>
                <w:szCs w:val="20"/>
              </w:rPr>
              <w:t>_Portfolio_FL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3.8061</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(0.6544)**</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1.0863</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(0.0075)**</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-0.1432</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(0.0255)**</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-0.6101</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(0.0644)**</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44370</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0.3204</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14H1</w:t>
            </w:r>
            <w:r w:rsidRPr="003A0F6F">
              <w:rPr>
                <w:rFonts w:ascii="Times New Roman" w:eastAsia="Times New Roman" w:hAnsi="Times New Roman" w:cs="Times New Roman"/>
                <w:b/>
                <w:bCs/>
                <w:color w:val="000000"/>
                <w:sz w:val="20"/>
                <w:szCs w:val="20"/>
              </w:rPr>
              <w:t>_Portfolio_NFL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1.685</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(0.8442)*</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0.9253</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(0.0100)**</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-0.015</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-0.0349</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-0.8171</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(0.0751)**</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70556</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0.1078</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14H2</w:t>
            </w:r>
            <w:r w:rsidRPr="003A0F6F">
              <w:rPr>
                <w:rFonts w:ascii="Times New Roman" w:eastAsia="Times New Roman" w:hAnsi="Times New Roman" w:cs="Times New Roman"/>
                <w:b/>
                <w:bCs/>
                <w:color w:val="000000"/>
                <w:sz w:val="20"/>
                <w:szCs w:val="20"/>
              </w:rPr>
              <w:t>_Portfolio_FL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5.6909</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(0.6880)**</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1.1384</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(0.0079)**</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-0.2124</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(0.0268)**</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-0.6503</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(0.0657)**</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43065</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0.3242</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14H2</w:t>
            </w:r>
            <w:r w:rsidRPr="003A0F6F">
              <w:rPr>
                <w:rFonts w:ascii="Times New Roman" w:eastAsia="Times New Roman" w:hAnsi="Times New Roman" w:cs="Times New Roman"/>
                <w:b/>
                <w:bCs/>
                <w:color w:val="000000"/>
                <w:sz w:val="20"/>
                <w:szCs w:val="20"/>
              </w:rPr>
              <w:t>_Portfolio_NFL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2.0102</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(0.8258)*</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0.897</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(0.0098)**</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-0.0309</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-0.0341</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-0.8228</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(0.0750)**</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71861</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0.1048</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15H1</w:t>
            </w:r>
            <w:r w:rsidRPr="003A0F6F">
              <w:rPr>
                <w:rFonts w:ascii="Times New Roman" w:eastAsia="Times New Roman" w:hAnsi="Times New Roman" w:cs="Times New Roman"/>
                <w:b/>
                <w:bCs/>
                <w:color w:val="000000"/>
                <w:sz w:val="20"/>
                <w:szCs w:val="20"/>
              </w:rPr>
              <w:t>_Portfolio_FL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6.5445</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(0.7363)**</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1.1256</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(0.0082)**</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-0.2453</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(0.0291)**</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-0.6114</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(0.0728)**</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41501</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0.3139</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15H1</w:t>
            </w:r>
            <w:r w:rsidRPr="003A0F6F">
              <w:rPr>
                <w:rFonts w:ascii="Times New Roman" w:eastAsia="Times New Roman" w:hAnsi="Times New Roman" w:cs="Times New Roman"/>
                <w:b/>
                <w:bCs/>
                <w:color w:val="000000"/>
                <w:sz w:val="20"/>
                <w:szCs w:val="20"/>
              </w:rPr>
              <w:t>_Portfolio_NFL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2.3871</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(0.7833)**</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0.9094</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(0.0096)**</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-0.0472</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-0.0322</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-0.8444</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(0.0706)**</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73425</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0.1094</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15H2</w:t>
            </w:r>
            <w:r w:rsidRPr="003A0F6F">
              <w:rPr>
                <w:rFonts w:ascii="Times New Roman" w:eastAsia="Times New Roman" w:hAnsi="Times New Roman" w:cs="Times New Roman"/>
                <w:b/>
                <w:bCs/>
                <w:color w:val="000000"/>
                <w:sz w:val="20"/>
                <w:szCs w:val="20"/>
              </w:rPr>
              <w:t>_Portfolio_FL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3.4914</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(0.6836)**</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1.1113</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(0.0084)**</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-0.1277</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(0.0269)**</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-0.6481</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(0.0685)**</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42806</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0.2905</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15H2</w:t>
            </w:r>
            <w:r w:rsidRPr="003A0F6F">
              <w:rPr>
                <w:rFonts w:ascii="Times New Roman" w:eastAsia="Times New Roman" w:hAnsi="Times New Roman" w:cs="Times New Roman"/>
                <w:b/>
                <w:bCs/>
                <w:color w:val="000000"/>
                <w:sz w:val="20"/>
                <w:szCs w:val="20"/>
              </w:rPr>
              <w:t>_Portfolio_NFL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3.0984</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(0.8237)**</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0.9139</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(0.0096)**</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-0.0748</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(0.0339)*</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-0.8294</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(0.0738)**</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72120</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0.1113</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16H1</w:t>
            </w:r>
            <w:r w:rsidRPr="003A0F6F">
              <w:rPr>
                <w:rFonts w:ascii="Times New Roman" w:eastAsia="Times New Roman" w:hAnsi="Times New Roman" w:cs="Times New Roman"/>
                <w:b/>
                <w:bCs/>
                <w:color w:val="000000"/>
                <w:sz w:val="20"/>
                <w:szCs w:val="20"/>
              </w:rPr>
              <w:t>_Portfolio_FL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6.9716</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(0.7165)**</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1.1504</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(0.0090)**</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-0.2557</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(0.0284)**</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-0.7009</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(0.0700)**</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42806</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0.2781</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16H1</w:t>
            </w:r>
            <w:r w:rsidRPr="003A0F6F">
              <w:rPr>
                <w:rFonts w:ascii="Times New Roman" w:eastAsia="Times New Roman" w:hAnsi="Times New Roman" w:cs="Times New Roman"/>
                <w:b/>
                <w:bCs/>
                <w:color w:val="000000"/>
                <w:sz w:val="20"/>
                <w:szCs w:val="20"/>
              </w:rPr>
              <w:t>_Portfolio_NFL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3.2677</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(0.7576)**</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0.8909</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(0.0095)**</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-0.0862</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(0.0311)**</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-0.8488</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(0.0743)**</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72120</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0.1104</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16H2</w:t>
            </w:r>
            <w:r w:rsidRPr="003A0F6F">
              <w:rPr>
                <w:rFonts w:ascii="Times New Roman" w:eastAsia="Times New Roman" w:hAnsi="Times New Roman" w:cs="Times New Roman"/>
                <w:b/>
                <w:bCs/>
                <w:color w:val="000000"/>
                <w:sz w:val="20"/>
                <w:szCs w:val="20"/>
              </w:rPr>
              <w:t>_Portfolio_FL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6.9472</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(0.6413)**</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1.1013</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(0.0084)**</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-0.2697</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(0.0252)**</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-0.4076</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(0.0722)**</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45416</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0.2784</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16H2</w:t>
            </w:r>
            <w:r w:rsidRPr="003A0F6F">
              <w:rPr>
                <w:rFonts w:ascii="Times New Roman" w:eastAsia="Times New Roman" w:hAnsi="Times New Roman" w:cs="Times New Roman"/>
                <w:b/>
                <w:bCs/>
                <w:color w:val="000000"/>
                <w:sz w:val="20"/>
                <w:szCs w:val="20"/>
              </w:rPr>
              <w:t>_Portfolio_NFL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-1.0152</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-0.9102</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0.9136</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(0.0099)**</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0.0998</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(0.0376)**</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-0.9798</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(0.0726)**</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69510</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0.1109</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17H1</w:t>
            </w:r>
            <w:r w:rsidRPr="003A0F6F">
              <w:rPr>
                <w:rFonts w:ascii="Times New Roman" w:eastAsia="Times New Roman" w:hAnsi="Times New Roman" w:cs="Times New Roman"/>
                <w:b/>
                <w:bCs/>
                <w:color w:val="000000"/>
                <w:sz w:val="20"/>
                <w:szCs w:val="20"/>
              </w:rPr>
              <w:t>_Portfolio_FL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9.2657</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(0.7447)**</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1.1266</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(0.0089)**</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-0.3578</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(0.0288)**</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-0.3778</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(0.0719)**</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36281</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0.3094</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17H1</w:t>
            </w:r>
            <w:r w:rsidRPr="003A0F6F">
              <w:rPr>
                <w:rFonts w:ascii="Times New Roman" w:eastAsia="Times New Roman" w:hAnsi="Times New Roman" w:cs="Times New Roman"/>
                <w:b/>
                <w:bCs/>
                <w:color w:val="000000"/>
                <w:sz w:val="20"/>
                <w:szCs w:val="20"/>
              </w:rPr>
              <w:t>_Portfolio_NFL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0.3656</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-0.7989</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0.9237</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(0.0091)**</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0.038</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-0.033</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-0.9818</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(0.0700)**</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78645</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0.1172</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17H2</w:t>
            </w:r>
            <w:r w:rsidRPr="003A0F6F">
              <w:rPr>
                <w:rFonts w:ascii="Times New Roman" w:eastAsia="Times New Roman" w:hAnsi="Times New Roman" w:cs="Times New Roman"/>
                <w:b/>
                <w:bCs/>
                <w:color w:val="000000"/>
                <w:sz w:val="20"/>
                <w:szCs w:val="20"/>
              </w:rPr>
              <w:t>_Portfolio_FL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9.5939</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(0.7550)**</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1.1541</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(0.0092)**</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-0.3718</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(0.0291)**</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-0.3985</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(0.0752)**</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34976</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0.3117</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17H2</w:t>
            </w:r>
            <w:r w:rsidRPr="003A0F6F">
              <w:rPr>
                <w:rFonts w:ascii="Times New Roman" w:eastAsia="Times New Roman" w:hAnsi="Times New Roman" w:cs="Times New Roman"/>
                <w:b/>
                <w:bCs/>
                <w:color w:val="000000"/>
                <w:sz w:val="20"/>
                <w:szCs w:val="20"/>
              </w:rPr>
              <w:t>_Portfolio_NFL</w:t>
            </w:r>
          </w:p>
        </w:tc>
        <w:tc>
          <w:tcPr>
            <w:tcW w:w="881"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0.1544</w:t>
            </w:r>
          </w:p>
        </w:tc>
        <w:tc>
          <w:tcPr>
            <w:tcW w:w="1100"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-0.781</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0.9153</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(0.0089)**</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0.047</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-0.0323</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-0.982</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(0.0687)**</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79950</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0.1171</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highlight w:val="yellow"/>
              </w:rPr>
            </w:pPr>
            <w:r>
              <w:rPr>
                <w:rFonts w:ascii="Times New Roman" w:eastAsia="Times New Roman" w:hAnsi="Times New Roman" w:cs="Times New Roman"/>
                <w:b/>
                <w:bCs/>
                <w:color w:val="000000"/>
                <w:sz w:val="20"/>
                <w:szCs w:val="20"/>
              </w:rPr>
              <w:t>18H1</w:t>
            </w:r>
            <w:r w:rsidRPr="003A0F6F">
              <w:rPr>
                <w:rFonts w:ascii="Times New Roman" w:eastAsia="Times New Roman" w:hAnsi="Times New Roman" w:cs="Times New Roman"/>
                <w:b/>
                <w:bCs/>
                <w:color w:val="000000"/>
                <w:sz w:val="20"/>
                <w:szCs w:val="20"/>
              </w:rPr>
              <w:t>_Portfolio_FL</w:t>
            </w:r>
          </w:p>
        </w:tc>
        <w:tc>
          <w:tcPr>
            <w:tcW w:w="881" w:type="dxa"/>
            <w:shd w:val="clear" w:color="auto" w:fill="auto"/>
            <w:noWrap/>
            <w:vAlign w:val="bottom"/>
            <w:hideMark/>
          </w:tcPr>
          <w:p w:rsidR="005C6799" w:rsidRPr="0033194F" w:rsidRDefault="005C6799" w:rsidP="005C6799">
            <w:pPr>
              <w:spacing w:after="0" w:line="240" w:lineRule="auto"/>
              <w:jc w:val="center"/>
              <w:rPr>
                <w:rFonts w:ascii="Times New Roman" w:eastAsia="Times New Roman" w:hAnsi="Times New Roman" w:cs="Times New Roman"/>
                <w:color w:val="000000"/>
                <w:sz w:val="20"/>
                <w:szCs w:val="20"/>
              </w:rPr>
            </w:pPr>
            <w:r w:rsidRPr="0033194F">
              <w:rPr>
                <w:rFonts w:ascii="Times New Roman" w:eastAsia="Times New Roman" w:hAnsi="Times New Roman" w:cs="Times New Roman"/>
                <w:color w:val="000000"/>
                <w:sz w:val="20"/>
                <w:szCs w:val="20"/>
              </w:rPr>
              <w:t>9.5598</w:t>
            </w:r>
          </w:p>
        </w:tc>
        <w:tc>
          <w:tcPr>
            <w:tcW w:w="1100" w:type="dxa"/>
            <w:shd w:val="clear" w:color="auto" w:fill="auto"/>
            <w:noWrap/>
            <w:vAlign w:val="bottom"/>
            <w:hideMark/>
          </w:tcPr>
          <w:p w:rsidR="005C6799" w:rsidRPr="0033194F" w:rsidRDefault="005C6799" w:rsidP="005C6799">
            <w:pPr>
              <w:spacing w:after="0" w:line="240" w:lineRule="auto"/>
              <w:jc w:val="center"/>
              <w:rPr>
                <w:rFonts w:ascii="Times New Roman" w:eastAsia="Times New Roman" w:hAnsi="Times New Roman" w:cs="Times New Roman"/>
                <w:color w:val="000000"/>
                <w:sz w:val="20"/>
                <w:szCs w:val="20"/>
              </w:rPr>
            </w:pPr>
            <w:r w:rsidRPr="0033194F">
              <w:rPr>
                <w:rFonts w:ascii="Times New Roman" w:eastAsia="Times New Roman" w:hAnsi="Times New Roman" w:cs="Times New Roman"/>
                <w:color w:val="000000"/>
                <w:sz w:val="20"/>
                <w:szCs w:val="20"/>
              </w:rPr>
              <w:t>(0.6907)**</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1.1479</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(0.0086)**</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-0.3547</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(0.0271)**</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-0.732</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(0.0710)**</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50394</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0.2655</w:t>
            </w:r>
          </w:p>
        </w:tc>
      </w:tr>
      <w:tr w:rsidR="005C6799" w:rsidRPr="00FB1819" w:rsidTr="005C6799">
        <w:trPr>
          <w:trHeight w:val="346"/>
        </w:trPr>
        <w:tc>
          <w:tcPr>
            <w:tcW w:w="1916" w:type="dxa"/>
            <w:noWrap/>
            <w:vAlign w:val="center"/>
            <w:hideMark/>
          </w:tcPr>
          <w:p w:rsidR="005C6799" w:rsidRPr="00CE7EA9" w:rsidRDefault="005C6799" w:rsidP="005C6799">
            <w:pPr>
              <w:spacing w:after="0" w:line="240" w:lineRule="auto"/>
              <w:rPr>
                <w:rFonts w:ascii="Times New Roman" w:eastAsia="Times New Roman" w:hAnsi="Times New Roman" w:cs="Times New Roman"/>
                <w:b/>
                <w:bCs/>
                <w:color w:val="000000"/>
                <w:sz w:val="20"/>
                <w:szCs w:val="20"/>
                <w:highlight w:val="yellow"/>
              </w:rPr>
            </w:pPr>
            <w:r>
              <w:rPr>
                <w:rFonts w:ascii="Times New Roman" w:eastAsia="Times New Roman" w:hAnsi="Times New Roman" w:cs="Times New Roman"/>
                <w:b/>
                <w:bCs/>
                <w:color w:val="000000"/>
                <w:sz w:val="20"/>
                <w:szCs w:val="20"/>
              </w:rPr>
              <w:t>18H1</w:t>
            </w:r>
            <w:r w:rsidRPr="003A0F6F">
              <w:rPr>
                <w:rFonts w:ascii="Times New Roman" w:eastAsia="Times New Roman" w:hAnsi="Times New Roman" w:cs="Times New Roman"/>
                <w:b/>
                <w:bCs/>
                <w:color w:val="000000"/>
                <w:sz w:val="20"/>
                <w:szCs w:val="20"/>
              </w:rPr>
              <w:t>_Portfolio_NFL</w:t>
            </w:r>
          </w:p>
        </w:tc>
        <w:tc>
          <w:tcPr>
            <w:tcW w:w="881" w:type="dxa"/>
            <w:shd w:val="clear" w:color="auto" w:fill="auto"/>
            <w:noWrap/>
            <w:vAlign w:val="bottom"/>
            <w:hideMark/>
          </w:tcPr>
          <w:p w:rsidR="005C6799" w:rsidRPr="0033194F" w:rsidRDefault="005C6799" w:rsidP="005C6799">
            <w:pPr>
              <w:spacing w:after="0" w:line="240" w:lineRule="auto"/>
              <w:jc w:val="center"/>
              <w:rPr>
                <w:rFonts w:ascii="Times New Roman" w:eastAsia="Times New Roman" w:hAnsi="Times New Roman" w:cs="Times New Roman"/>
                <w:color w:val="000000"/>
                <w:sz w:val="20"/>
                <w:szCs w:val="20"/>
              </w:rPr>
            </w:pPr>
            <w:r w:rsidRPr="0033194F">
              <w:rPr>
                <w:rFonts w:ascii="Times New Roman" w:eastAsia="Times New Roman" w:hAnsi="Times New Roman" w:cs="Times New Roman"/>
                <w:color w:val="000000"/>
                <w:sz w:val="20"/>
                <w:szCs w:val="20"/>
              </w:rPr>
              <w:t>-1.0747</w:t>
            </w:r>
          </w:p>
        </w:tc>
        <w:tc>
          <w:tcPr>
            <w:tcW w:w="1100" w:type="dxa"/>
            <w:shd w:val="clear" w:color="auto" w:fill="auto"/>
            <w:noWrap/>
            <w:vAlign w:val="bottom"/>
            <w:hideMark/>
          </w:tcPr>
          <w:p w:rsidR="005C6799" w:rsidRPr="0033194F" w:rsidRDefault="005C6799" w:rsidP="005C6799">
            <w:pPr>
              <w:spacing w:after="0" w:line="240" w:lineRule="auto"/>
              <w:jc w:val="center"/>
              <w:rPr>
                <w:rFonts w:ascii="Times New Roman" w:eastAsia="Times New Roman" w:hAnsi="Times New Roman" w:cs="Times New Roman"/>
                <w:color w:val="000000"/>
                <w:sz w:val="20"/>
                <w:szCs w:val="20"/>
              </w:rPr>
            </w:pPr>
            <w:r w:rsidRPr="0033194F">
              <w:rPr>
                <w:rFonts w:ascii="Times New Roman" w:eastAsia="Times New Roman" w:hAnsi="Times New Roman" w:cs="Times New Roman"/>
                <w:color w:val="000000"/>
                <w:sz w:val="20"/>
                <w:szCs w:val="20"/>
              </w:rPr>
              <w:t>-0.9152</w:t>
            </w:r>
          </w:p>
        </w:tc>
        <w:tc>
          <w:tcPr>
            <w:tcW w:w="76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0.8629</w:t>
            </w:r>
          </w:p>
        </w:tc>
        <w:tc>
          <w:tcPr>
            <w:tcW w:w="1102"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(0.0101)**</w:t>
            </w:r>
          </w:p>
        </w:tc>
        <w:tc>
          <w:tcPr>
            <w:tcW w:w="838"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0.0964</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(0.0380)*</w:t>
            </w:r>
          </w:p>
        </w:tc>
        <w:tc>
          <w:tcPr>
            <w:tcW w:w="889"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-0.8707</w:t>
            </w:r>
          </w:p>
        </w:tc>
        <w:tc>
          <w:tcPr>
            <w:tcW w:w="1103" w:type="dxa"/>
            <w:shd w:val="clear" w:color="auto" w:fill="auto"/>
            <w:noWrap/>
            <w:vAlign w:val="bottom"/>
            <w:hideMark/>
          </w:tcPr>
          <w:p w:rsidR="005C6799" w:rsidRPr="00FB1819" w:rsidRDefault="005C6799" w:rsidP="005C6799">
            <w:pPr>
              <w:spacing w:after="0" w:line="240" w:lineRule="auto"/>
              <w:jc w:val="center"/>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(0.0757)**</w:t>
            </w:r>
          </w:p>
        </w:tc>
        <w:tc>
          <w:tcPr>
            <w:tcW w:w="1350"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64532</w:t>
            </w:r>
          </w:p>
        </w:tc>
        <w:tc>
          <w:tcPr>
            <w:tcW w:w="992" w:type="dxa"/>
            <w:shd w:val="clear" w:color="auto" w:fill="auto"/>
            <w:noWrap/>
            <w:vAlign w:val="bottom"/>
            <w:hideMark/>
          </w:tcPr>
          <w:p w:rsidR="005C6799" w:rsidRPr="00FB1819" w:rsidRDefault="005C6799" w:rsidP="005C6799">
            <w:pPr>
              <w:spacing w:after="0" w:line="240" w:lineRule="auto"/>
              <w:rPr>
                <w:rFonts w:ascii="Times New Roman" w:eastAsia="Times New Roman" w:hAnsi="Times New Roman" w:cs="Times New Roman"/>
                <w:color w:val="000000"/>
                <w:sz w:val="20"/>
                <w:szCs w:val="20"/>
              </w:rPr>
            </w:pPr>
            <w:r w:rsidRPr="00FB1819">
              <w:rPr>
                <w:rFonts w:ascii="Times New Roman" w:eastAsia="Times New Roman" w:hAnsi="Times New Roman" w:cs="Times New Roman"/>
                <w:color w:val="000000"/>
                <w:sz w:val="20"/>
                <w:szCs w:val="20"/>
              </w:rPr>
              <w:t>0.102</w:t>
            </w:r>
          </w:p>
        </w:tc>
      </w:tr>
    </w:tbl>
    <w:p w:rsidR="00FB1819" w:rsidRDefault="00FB1819" w:rsidP="009927F7">
      <w:pPr>
        <w:spacing w:line="480" w:lineRule="auto"/>
        <w:jc w:val="both"/>
        <w:rPr>
          <w:rFonts w:ascii="Times New Roman" w:eastAsiaTheme="minorEastAsia" w:hAnsi="Times New Roman" w:cs="Times New Roman"/>
          <w:sz w:val="24"/>
          <w:szCs w:val="24"/>
        </w:rPr>
      </w:pPr>
    </w:p>
    <w:p w:rsidR="00321E0C" w:rsidRPr="002E4081" w:rsidRDefault="00321E0C" w:rsidP="00321E0C">
      <w:pPr>
        <w:spacing w:after="0"/>
        <w:rPr>
          <w:rFonts w:ascii="Times New Roman" w:hAnsi="Times New Roman" w:cs="Times New Roman"/>
          <w:sz w:val="18"/>
          <w:szCs w:val="24"/>
        </w:rPr>
      </w:pPr>
      <w:r w:rsidRPr="002E4081">
        <w:rPr>
          <w:rFonts w:ascii="Times New Roman" w:hAnsi="Times New Roman" w:cs="Times New Roman"/>
          <w:sz w:val="18"/>
          <w:szCs w:val="24"/>
        </w:rPr>
        <w:t>Portfolio_FL=Stocks with Futures listed on them</w:t>
      </w:r>
    </w:p>
    <w:p w:rsidR="00321E0C" w:rsidRPr="002E4081" w:rsidRDefault="00321E0C" w:rsidP="00321E0C">
      <w:pPr>
        <w:spacing w:after="0"/>
        <w:rPr>
          <w:rFonts w:ascii="Times New Roman" w:hAnsi="Times New Roman" w:cs="Times New Roman"/>
          <w:sz w:val="18"/>
          <w:szCs w:val="24"/>
        </w:rPr>
      </w:pPr>
      <w:r w:rsidRPr="002E4081">
        <w:rPr>
          <w:rFonts w:ascii="Times New Roman" w:hAnsi="Times New Roman" w:cs="Times New Roman"/>
          <w:sz w:val="18"/>
          <w:szCs w:val="24"/>
        </w:rPr>
        <w:t>Portfolio_NFL= Stocks with no futures listed on them</w:t>
      </w:r>
    </w:p>
    <w:p w:rsidR="00A10736" w:rsidRDefault="00A10736" w:rsidP="00AD6FD8">
      <w:pPr>
        <w:spacing w:line="480" w:lineRule="auto"/>
        <w:jc w:val="both"/>
        <w:rPr>
          <w:rFonts w:ascii="Times New Roman" w:hAnsi="Times New Roman" w:cs="Times New Roman"/>
          <w:sz w:val="24"/>
        </w:rPr>
      </w:pPr>
    </w:p>
    <w:p w:rsidR="00AD6FD8" w:rsidRDefault="00A035E2" w:rsidP="00AD6FD8">
      <w:pPr>
        <w:spacing w:line="480" w:lineRule="auto"/>
        <w:jc w:val="both"/>
        <w:rPr>
          <w:rFonts w:ascii="Times New Roman" w:hAnsi="Times New Roman" w:cs="Times New Roman"/>
          <w:sz w:val="24"/>
        </w:rPr>
      </w:pPr>
      <w:r>
        <w:rPr>
          <w:rFonts w:ascii="Times New Roman" w:hAnsi="Times New Roman" w:cs="Times New Roman"/>
          <w:sz w:val="24"/>
        </w:rPr>
        <w:lastRenderedPageBreak/>
        <w:t>The table 12</w:t>
      </w:r>
      <w:r w:rsidR="00AD6FD8">
        <w:rPr>
          <w:rFonts w:ascii="Times New Roman" w:hAnsi="Times New Roman" w:cs="Times New Roman"/>
          <w:sz w:val="24"/>
        </w:rPr>
        <w:t xml:space="preserve"> depicts the alpha co-efficient and beta co-efficient of the factor model (Equation 3). The dependent variable in this model is Excess Market Return (ERM) whereas αi, βi, βis and </w:t>
      </w:r>
      <w:r w:rsidR="00AD6FD8" w:rsidRPr="00E3128F">
        <w:rPr>
          <w:rFonts w:ascii="Times New Roman" w:hAnsi="Times New Roman" w:cs="Times New Roman"/>
          <w:sz w:val="24"/>
        </w:rPr>
        <w:t>βiv</w:t>
      </w:r>
      <w:r w:rsidR="00AD6FD8">
        <w:rPr>
          <w:rFonts w:ascii="Times New Roman" w:hAnsi="Times New Roman" w:cs="Times New Roman"/>
          <w:sz w:val="24"/>
        </w:rPr>
        <w:t xml:space="preserve"> are the independent variables. The αi is the active return i.e. it indicates the performance of the stock portfolio against the benchmark index on the risk-adjusted basis, βi is the market risk, βis and βih are the betas for size and value respectively. We can see the alpha returns in the factor model are positive and significant for both the portfolios. However, in the factor model, the alpha returns for Portfolio_Fl are greater than Portfolio_NFL. It means that the stocks, which have futures available on them, are generating more returns than those stocks</w:t>
      </w:r>
      <w:r w:rsidR="00E92008">
        <w:rPr>
          <w:rFonts w:ascii="Times New Roman" w:hAnsi="Times New Roman" w:cs="Times New Roman"/>
          <w:sz w:val="24"/>
        </w:rPr>
        <w:t xml:space="preserve"> which do not have futures </w:t>
      </w:r>
      <w:r w:rsidR="00E51ED5">
        <w:rPr>
          <w:rFonts w:ascii="Times New Roman" w:hAnsi="Times New Roman" w:cs="Times New Roman"/>
          <w:sz w:val="24"/>
        </w:rPr>
        <w:t xml:space="preserve">contracts </w:t>
      </w:r>
      <w:r w:rsidR="00E92008">
        <w:rPr>
          <w:rFonts w:ascii="Times New Roman" w:hAnsi="Times New Roman" w:cs="Times New Roman"/>
          <w:sz w:val="24"/>
        </w:rPr>
        <w:t>traded against them</w:t>
      </w:r>
      <w:r w:rsidR="00AD6FD8">
        <w:rPr>
          <w:rFonts w:ascii="Times New Roman" w:hAnsi="Times New Roman" w:cs="Times New Roman"/>
          <w:sz w:val="24"/>
        </w:rPr>
        <w:t xml:space="preserve">. The alpha co-efficient of Portfolio_FL in the first half of 2013 is 2.9286 whereas in the second half it increased to 3.2228 and remained significant. Similarly, the alpha co-efficent of Portfolio_NFL is 1.661 in the first half of 2013 whereas it increased to 1.9554 in the second half of the same year. However, in year 2016, the alpha returns for portfolio_FL almost remained same during both the halves. Portfolio_NFL has generated significant returns in all the periods except second half of year 2016, both halves of 2017 and first half of year 2018. It is interesting to see that in the current period that is from January 2018 to May 2018, the portfolio_FL is generating positive and significant returns than Portfolio_NFL, which has negative and insignificant returns in this period. Also, the alpha returns of Portfolio_FL has greatly increased from 2.9286 in year 2013 to 9.5598 in the current year. However, the returns of Portfolio_NFL have not showed such drastic increase over the given time period. The returns of Portfolio_NFL showed an increasing trend from year 2013 till first half of year 2016 after which the returns started decreasing. It’s is quite interesting to note that in the recent period (first half of 2018), portfolio_NFL has generated negative and insignificant alpha returns. </w:t>
      </w:r>
    </w:p>
    <w:p w:rsidR="00AD6FD8" w:rsidRDefault="00AD6FD8" w:rsidP="00AD6FD8">
      <w:pPr>
        <w:spacing w:line="480" w:lineRule="auto"/>
        <w:jc w:val="both"/>
        <w:rPr>
          <w:rFonts w:ascii="Times New Roman" w:hAnsi="Times New Roman" w:cs="Times New Roman"/>
          <w:sz w:val="24"/>
        </w:rPr>
      </w:pPr>
      <w:r>
        <w:rPr>
          <w:rFonts w:ascii="Times New Roman" w:hAnsi="Times New Roman" w:cs="Times New Roman"/>
          <w:sz w:val="24"/>
        </w:rPr>
        <w:lastRenderedPageBreak/>
        <w:t xml:space="preserve">Moving onto the market risk i.e. beta, we can see that it has remained positive and significant in all the time periods. The beta co-efficients of Portfolio_FL are slightly greater than Portfolio_NFL during each time period which indicates that Portfolio_FL is more riskier than Portfolio_NFL. For instance, beta co-efficient of Portfolio_FL is 1.0277 in first half of year 2013 whereas the beta co-efficient of Portfolio_NFL in the same period is 0.9675. Similarly, in the first half of year 2018, Portfolio_FL has beta of </w:t>
      </w:r>
      <w:r w:rsidRPr="0024137C">
        <w:rPr>
          <w:rFonts w:ascii="Times New Roman" w:hAnsi="Times New Roman" w:cs="Times New Roman"/>
          <w:sz w:val="24"/>
        </w:rPr>
        <w:t>1.1479</w:t>
      </w:r>
      <w:r>
        <w:rPr>
          <w:rFonts w:ascii="Times New Roman" w:hAnsi="Times New Roman" w:cs="Times New Roman"/>
          <w:sz w:val="24"/>
        </w:rPr>
        <w:t xml:space="preserve">, whereas Portfolio_NFL has beta equal to </w:t>
      </w:r>
      <w:r w:rsidRPr="0024137C">
        <w:rPr>
          <w:rFonts w:ascii="Times New Roman" w:hAnsi="Times New Roman" w:cs="Times New Roman"/>
          <w:sz w:val="24"/>
        </w:rPr>
        <w:t>0.8629</w:t>
      </w:r>
      <w:r>
        <w:rPr>
          <w:rFonts w:ascii="Times New Roman" w:hAnsi="Times New Roman" w:cs="Times New Roman"/>
          <w:sz w:val="24"/>
        </w:rPr>
        <w:t xml:space="preserve">. </w:t>
      </w:r>
    </w:p>
    <w:p w:rsidR="00AD6FD8" w:rsidRDefault="00AD6FD8" w:rsidP="00AD6FD8">
      <w:pPr>
        <w:spacing w:line="480" w:lineRule="auto"/>
        <w:jc w:val="both"/>
        <w:rPr>
          <w:rFonts w:ascii="Times New Roman" w:hAnsi="Times New Roman" w:cs="Times New Roman"/>
          <w:sz w:val="24"/>
        </w:rPr>
      </w:pPr>
      <w:r>
        <w:rPr>
          <w:rFonts w:ascii="Times New Roman" w:hAnsi="Times New Roman" w:cs="Times New Roman"/>
          <w:sz w:val="24"/>
        </w:rPr>
        <w:t xml:space="preserve">We have two other </w:t>
      </w:r>
      <w:r w:rsidR="00C62511">
        <w:rPr>
          <w:rFonts w:ascii="Times New Roman" w:hAnsi="Times New Roman" w:cs="Times New Roman"/>
          <w:sz w:val="24"/>
        </w:rPr>
        <w:t>variables</w:t>
      </w:r>
      <w:r>
        <w:rPr>
          <w:rFonts w:ascii="Times New Roman" w:hAnsi="Times New Roman" w:cs="Times New Roman"/>
          <w:sz w:val="24"/>
        </w:rPr>
        <w:t xml:space="preserve"> in this model i.e. β</w:t>
      </w:r>
      <w:r w:rsidRPr="0024137C">
        <w:rPr>
          <w:rFonts w:ascii="Times New Roman" w:hAnsi="Times New Roman" w:cs="Times New Roman"/>
          <w:sz w:val="24"/>
          <w:vertAlign w:val="subscript"/>
        </w:rPr>
        <w:t>is</w:t>
      </w:r>
      <w:r>
        <w:rPr>
          <w:rFonts w:ascii="Times New Roman" w:hAnsi="Times New Roman" w:cs="Times New Roman"/>
          <w:sz w:val="24"/>
        </w:rPr>
        <w:t xml:space="preserve"> and </w:t>
      </w:r>
      <w:r w:rsidRPr="0024137C">
        <w:rPr>
          <w:rFonts w:ascii="Times New Roman" w:hAnsi="Times New Roman" w:cs="Times New Roman"/>
          <w:sz w:val="24"/>
        </w:rPr>
        <w:t>β</w:t>
      </w:r>
      <w:r w:rsidRPr="0024137C">
        <w:rPr>
          <w:rFonts w:ascii="Times New Roman" w:hAnsi="Times New Roman" w:cs="Times New Roman"/>
          <w:sz w:val="24"/>
          <w:vertAlign w:val="subscript"/>
        </w:rPr>
        <w:t>ih</w:t>
      </w:r>
      <w:r>
        <w:rPr>
          <w:rFonts w:ascii="Times New Roman" w:hAnsi="Times New Roman" w:cs="Times New Roman"/>
          <w:sz w:val="24"/>
        </w:rPr>
        <w:t>for size and value respectively. The β</w:t>
      </w:r>
      <w:r w:rsidRPr="0024137C">
        <w:rPr>
          <w:rFonts w:ascii="Times New Roman" w:hAnsi="Times New Roman" w:cs="Times New Roman"/>
          <w:sz w:val="24"/>
          <w:vertAlign w:val="subscript"/>
        </w:rPr>
        <w:t>is</w:t>
      </w:r>
      <w:r>
        <w:rPr>
          <w:rFonts w:ascii="Times New Roman" w:hAnsi="Times New Roman" w:cs="Times New Roman"/>
          <w:sz w:val="24"/>
        </w:rPr>
        <w:t xml:space="preserve">denotes the size effect and </w:t>
      </w:r>
      <w:r w:rsidRPr="0024137C">
        <w:rPr>
          <w:rFonts w:ascii="Times New Roman" w:hAnsi="Times New Roman" w:cs="Times New Roman"/>
          <w:sz w:val="24"/>
        </w:rPr>
        <w:t>β</w:t>
      </w:r>
      <w:r w:rsidRPr="0024137C">
        <w:rPr>
          <w:rFonts w:ascii="Times New Roman" w:hAnsi="Times New Roman" w:cs="Times New Roman"/>
          <w:sz w:val="24"/>
          <w:vertAlign w:val="subscript"/>
        </w:rPr>
        <w:t>ih</w:t>
      </w:r>
      <w:r>
        <w:rPr>
          <w:rFonts w:ascii="Times New Roman" w:hAnsi="Times New Roman" w:cs="Times New Roman"/>
          <w:sz w:val="24"/>
        </w:rPr>
        <w:t xml:space="preserve">signifies the value effect. The co-efficient of </w:t>
      </w:r>
      <w:r w:rsidR="00C62511">
        <w:rPr>
          <w:rFonts w:ascii="Times New Roman" w:hAnsi="Times New Roman" w:cs="Times New Roman"/>
          <w:sz w:val="24"/>
        </w:rPr>
        <w:t>size proxy</w:t>
      </w:r>
      <w:r>
        <w:rPr>
          <w:rFonts w:ascii="Times New Roman" w:hAnsi="Times New Roman" w:cs="Times New Roman"/>
          <w:sz w:val="24"/>
        </w:rPr>
        <w:t xml:space="preserve"> remained negative throughout for Portfolio_FL. Like</w:t>
      </w:r>
      <w:r w:rsidR="00C62511">
        <w:rPr>
          <w:rFonts w:ascii="Times New Roman" w:hAnsi="Times New Roman" w:cs="Times New Roman"/>
          <w:sz w:val="24"/>
        </w:rPr>
        <w:t>wise, for Portfilio_NFL the co-efficient</w:t>
      </w:r>
      <w:r>
        <w:rPr>
          <w:rFonts w:ascii="Times New Roman" w:hAnsi="Times New Roman" w:cs="Times New Roman"/>
          <w:sz w:val="24"/>
        </w:rPr>
        <w:t xml:space="preserve"> also remained negative in all the periods except second half of year 2016, both halves of year 2017 and the first half of year 2018. As we can see the </w:t>
      </w:r>
      <w:r w:rsidR="00C62511">
        <w:rPr>
          <w:rFonts w:ascii="Times New Roman" w:hAnsi="Times New Roman" w:cs="Times New Roman"/>
          <w:sz w:val="24"/>
        </w:rPr>
        <w:t xml:space="preserve">co-efficient for </w:t>
      </w:r>
      <w:r>
        <w:rPr>
          <w:rFonts w:ascii="Times New Roman" w:hAnsi="Times New Roman" w:cs="Times New Roman"/>
          <w:sz w:val="24"/>
        </w:rPr>
        <w:t xml:space="preserve">size </w:t>
      </w:r>
      <w:r w:rsidR="00C62511">
        <w:rPr>
          <w:rFonts w:ascii="Times New Roman" w:hAnsi="Times New Roman" w:cs="Times New Roman"/>
          <w:sz w:val="24"/>
        </w:rPr>
        <w:t>proxy</w:t>
      </w:r>
      <w:r>
        <w:rPr>
          <w:rFonts w:ascii="Times New Roman" w:hAnsi="Times New Roman" w:cs="Times New Roman"/>
          <w:sz w:val="24"/>
        </w:rPr>
        <w:t xml:space="preserve"> has remained highly significant for Portfolio_FL in al</w:t>
      </w:r>
      <w:r w:rsidR="00C62511">
        <w:rPr>
          <w:rFonts w:ascii="Times New Roman" w:hAnsi="Times New Roman" w:cs="Times New Roman"/>
          <w:sz w:val="24"/>
        </w:rPr>
        <w:t>l the periods. Whereas, it</w:t>
      </w:r>
      <w:r>
        <w:rPr>
          <w:rFonts w:ascii="Times New Roman" w:hAnsi="Times New Roman" w:cs="Times New Roman"/>
          <w:sz w:val="24"/>
        </w:rPr>
        <w:t xml:space="preserve"> did not come out to be significant for Portfolio_NFL in all the periods except second half of year 2015, both halves of year 2016 and first half of year 2018. This demonstrates that small-cap stocks generate high</w:t>
      </w:r>
      <w:r w:rsidR="00C62511">
        <w:rPr>
          <w:rFonts w:ascii="Times New Roman" w:hAnsi="Times New Roman" w:cs="Times New Roman"/>
          <w:sz w:val="24"/>
        </w:rPr>
        <w:t>er returns than large-cap stocks</w:t>
      </w:r>
      <w:r>
        <w:rPr>
          <w:rFonts w:ascii="Times New Roman" w:hAnsi="Times New Roman" w:cs="Times New Roman"/>
          <w:sz w:val="24"/>
        </w:rPr>
        <w:t xml:space="preserve">. </w:t>
      </w:r>
    </w:p>
    <w:p w:rsidR="00DE016C" w:rsidRDefault="00AD6FD8" w:rsidP="00AD6FD8">
      <w:pPr>
        <w:spacing w:line="480" w:lineRule="auto"/>
        <w:jc w:val="both"/>
        <w:rPr>
          <w:rFonts w:ascii="Times New Roman" w:hAnsi="Times New Roman" w:cs="Times New Roman"/>
          <w:sz w:val="24"/>
        </w:rPr>
      </w:pPr>
      <w:r>
        <w:rPr>
          <w:rFonts w:ascii="Times New Roman" w:hAnsi="Times New Roman" w:cs="Times New Roman"/>
          <w:sz w:val="24"/>
        </w:rPr>
        <w:t xml:space="preserve">However, </w:t>
      </w:r>
      <w:r w:rsidRPr="0024137C">
        <w:rPr>
          <w:rFonts w:ascii="Times New Roman" w:hAnsi="Times New Roman" w:cs="Times New Roman"/>
          <w:sz w:val="24"/>
        </w:rPr>
        <w:t>β</w:t>
      </w:r>
      <w:r w:rsidRPr="0024137C">
        <w:rPr>
          <w:rFonts w:ascii="Times New Roman" w:hAnsi="Times New Roman" w:cs="Times New Roman"/>
          <w:sz w:val="24"/>
          <w:vertAlign w:val="subscript"/>
        </w:rPr>
        <w:t>ih</w:t>
      </w:r>
      <w:r>
        <w:rPr>
          <w:rFonts w:ascii="Times New Roman" w:hAnsi="Times New Roman" w:cs="Times New Roman"/>
          <w:sz w:val="24"/>
        </w:rPr>
        <w:t xml:space="preserve">also remained negative and statistically significant in all the periods. In the first </w:t>
      </w:r>
      <w:r w:rsidR="00C62511">
        <w:rPr>
          <w:rFonts w:ascii="Times New Roman" w:hAnsi="Times New Roman" w:cs="Times New Roman"/>
          <w:sz w:val="24"/>
        </w:rPr>
        <w:t xml:space="preserve">period of our analysis the value proxy </w:t>
      </w:r>
      <w:r>
        <w:rPr>
          <w:rFonts w:ascii="Times New Roman" w:hAnsi="Times New Roman" w:cs="Times New Roman"/>
          <w:sz w:val="24"/>
        </w:rPr>
        <w:t xml:space="preserve">co-efficient of Portfolio_FL is -0.3481 with a t-statistic of 0.0633. whereas, the portfolio_NFL has a beta value of -0.9349 with a t-statistic of 0.0726 in the same period. We can see from table 14 </w:t>
      </w:r>
      <w:r w:rsidR="00C62511">
        <w:rPr>
          <w:rFonts w:ascii="Times New Roman" w:hAnsi="Times New Roman" w:cs="Times New Roman"/>
          <w:sz w:val="24"/>
        </w:rPr>
        <w:t xml:space="preserve">that the absolute value of </w:t>
      </w:r>
      <w:r>
        <w:rPr>
          <w:rFonts w:ascii="Times New Roman" w:hAnsi="Times New Roman" w:cs="Times New Roman"/>
          <w:sz w:val="24"/>
        </w:rPr>
        <w:t>co-efficient</w:t>
      </w:r>
      <w:r w:rsidR="00C62511">
        <w:rPr>
          <w:rFonts w:ascii="Times New Roman" w:hAnsi="Times New Roman" w:cs="Times New Roman"/>
          <w:sz w:val="24"/>
        </w:rPr>
        <w:t xml:space="preserve"> for value proxy</w:t>
      </w:r>
      <w:r>
        <w:rPr>
          <w:rFonts w:ascii="Times New Roman" w:hAnsi="Times New Roman" w:cs="Times New Roman"/>
          <w:sz w:val="24"/>
        </w:rPr>
        <w:t xml:space="preserve"> of </w:t>
      </w:r>
      <w:r w:rsidR="00C62511">
        <w:rPr>
          <w:rFonts w:ascii="Times New Roman" w:hAnsi="Times New Roman" w:cs="Times New Roman"/>
          <w:sz w:val="24"/>
        </w:rPr>
        <w:t xml:space="preserve">futures listed stock portfolio </w:t>
      </w:r>
      <w:r>
        <w:rPr>
          <w:rFonts w:ascii="Times New Roman" w:hAnsi="Times New Roman" w:cs="Times New Roman"/>
          <w:sz w:val="24"/>
        </w:rPr>
        <w:t xml:space="preserve">is lesser than </w:t>
      </w:r>
      <w:r w:rsidR="00C62511">
        <w:rPr>
          <w:rFonts w:ascii="Times New Roman" w:hAnsi="Times New Roman" w:cs="Times New Roman"/>
          <w:sz w:val="24"/>
        </w:rPr>
        <w:t xml:space="preserve">non-futures listed stocks portfolio </w:t>
      </w:r>
      <w:r>
        <w:rPr>
          <w:rFonts w:ascii="Times New Roman" w:hAnsi="Times New Roman" w:cs="Times New Roman"/>
          <w:sz w:val="24"/>
        </w:rPr>
        <w:t xml:space="preserve">in all time periods. The findings illustrate that in our study, value stocks (high book-to-market ratio) have </w:t>
      </w:r>
      <w:r w:rsidR="00952C7B">
        <w:rPr>
          <w:rFonts w:ascii="Times New Roman" w:hAnsi="Times New Roman" w:cs="Times New Roman"/>
          <w:sz w:val="24"/>
        </w:rPr>
        <w:t xml:space="preserve">underperformed </w:t>
      </w:r>
      <w:r>
        <w:rPr>
          <w:rFonts w:ascii="Times New Roman" w:hAnsi="Times New Roman" w:cs="Times New Roman"/>
          <w:sz w:val="24"/>
        </w:rPr>
        <w:t>the growth stocks (low book-to-market ratio).</w:t>
      </w:r>
    </w:p>
    <w:p w:rsidR="00A10736" w:rsidRPr="00AD6FD8" w:rsidRDefault="00A10736" w:rsidP="00AD6FD8">
      <w:pPr>
        <w:spacing w:line="480" w:lineRule="auto"/>
        <w:jc w:val="both"/>
        <w:rPr>
          <w:rFonts w:ascii="Times New Roman" w:hAnsi="Times New Roman" w:cs="Times New Roman"/>
          <w:sz w:val="24"/>
        </w:rPr>
      </w:pPr>
      <w:r>
        <w:rPr>
          <w:rFonts w:ascii="Times New Roman" w:hAnsi="Times New Roman" w:cs="Times New Roman"/>
          <w:sz w:val="24"/>
        </w:rPr>
        <w:lastRenderedPageBreak/>
        <w:t>(For confidence band graphs, see Appendix, Figure 3, F</w:t>
      </w:r>
      <w:r w:rsidR="00321E0C">
        <w:rPr>
          <w:rFonts w:ascii="Times New Roman" w:hAnsi="Times New Roman" w:cs="Times New Roman"/>
          <w:sz w:val="24"/>
        </w:rPr>
        <w:t>igure 4, Figure 5 and Figure 6).</w:t>
      </w:r>
    </w:p>
    <w:p w:rsidR="00FB1819" w:rsidRDefault="00BF10FC" w:rsidP="00337558">
      <w:pPr>
        <w:pStyle w:val="Heading5"/>
        <w:rPr>
          <w:rFonts w:ascii="Times New Roman" w:eastAsiaTheme="minorEastAsia" w:hAnsi="Times New Roman" w:cs="Times New Roman"/>
          <w:b/>
          <w:color w:val="000000" w:themeColor="text1"/>
          <w:sz w:val="24"/>
        </w:rPr>
      </w:pPr>
      <w:bookmarkStart w:id="19" w:name="_Toc520219903"/>
      <w:r>
        <w:rPr>
          <w:rFonts w:ascii="Times New Roman" w:eastAsiaTheme="minorEastAsia" w:hAnsi="Times New Roman" w:cs="Times New Roman"/>
          <w:b/>
          <w:color w:val="000000" w:themeColor="text1"/>
          <w:sz w:val="24"/>
        </w:rPr>
        <w:t>4</w:t>
      </w:r>
      <w:r w:rsidR="00337558" w:rsidRPr="00337558">
        <w:rPr>
          <w:rFonts w:ascii="Times New Roman" w:eastAsiaTheme="minorEastAsia" w:hAnsi="Times New Roman" w:cs="Times New Roman"/>
          <w:b/>
          <w:color w:val="000000" w:themeColor="text1"/>
          <w:sz w:val="24"/>
        </w:rPr>
        <w:t>.2.3. Control for Large Sectors</w:t>
      </w:r>
      <w:bookmarkEnd w:id="19"/>
    </w:p>
    <w:p w:rsidR="00337558" w:rsidRDefault="00337558" w:rsidP="00337558"/>
    <w:p w:rsidR="00337558" w:rsidRDefault="00A93ECA" w:rsidP="009E66BD">
      <w:pPr>
        <w:spacing w:line="480" w:lineRule="auto"/>
        <w:jc w:val="both"/>
        <w:rPr>
          <w:rFonts w:ascii="Times New Roman" w:hAnsi="Times New Roman" w:cs="Times New Roman"/>
          <w:sz w:val="24"/>
        </w:rPr>
      </w:pPr>
      <w:r>
        <w:rPr>
          <w:rFonts w:ascii="Times New Roman" w:hAnsi="Times New Roman" w:cs="Times New Roman"/>
          <w:sz w:val="24"/>
        </w:rPr>
        <w:t>In order to add control for major sectors, w</w:t>
      </w:r>
      <w:r w:rsidR="00337558">
        <w:rPr>
          <w:rFonts w:ascii="Times New Roman" w:hAnsi="Times New Roman" w:cs="Times New Roman"/>
          <w:sz w:val="24"/>
        </w:rPr>
        <w:t xml:space="preserve">e have identified five major sectors in our </w:t>
      </w:r>
      <w:r w:rsidR="00E17722">
        <w:rPr>
          <w:rFonts w:ascii="Times New Roman" w:hAnsi="Times New Roman" w:cs="Times New Roman"/>
          <w:sz w:val="24"/>
        </w:rPr>
        <w:t>data, which</w:t>
      </w:r>
      <w:r w:rsidR="00A035E2">
        <w:rPr>
          <w:rFonts w:ascii="Times New Roman" w:hAnsi="Times New Roman" w:cs="Times New Roman"/>
          <w:sz w:val="24"/>
        </w:rPr>
        <w:t xml:space="preserve"> are shown in Table 13</w:t>
      </w:r>
      <w:r w:rsidR="006F4098">
        <w:rPr>
          <w:rFonts w:ascii="Times New Roman" w:hAnsi="Times New Roman" w:cs="Times New Roman"/>
          <w:sz w:val="24"/>
        </w:rPr>
        <w:t>. We have selected these sectors based on larger number of companies present in these sectors. For instance, 14 out of 90 companies belong to sector 807 (Commercial banks), 8 out of 90 companies lie in sector 804 i.e. cement and so on.</w:t>
      </w:r>
    </w:p>
    <w:p w:rsidR="00321E0C" w:rsidRDefault="00321E0C" w:rsidP="009E66BD">
      <w:pPr>
        <w:spacing w:line="480" w:lineRule="auto"/>
        <w:jc w:val="both"/>
        <w:rPr>
          <w:rFonts w:ascii="Times New Roman" w:hAnsi="Times New Roman" w:cs="Times New Roman"/>
          <w:sz w:val="24"/>
        </w:rPr>
      </w:pPr>
    </w:p>
    <w:p w:rsidR="00337558" w:rsidRPr="00B76167" w:rsidRDefault="00A035E2" w:rsidP="00337558">
      <w:pPr>
        <w:rPr>
          <w:rFonts w:ascii="Times New Roman" w:hAnsi="Times New Roman" w:cs="Times New Roman"/>
          <w:b/>
          <w:sz w:val="24"/>
        </w:rPr>
      </w:pPr>
      <w:r>
        <w:rPr>
          <w:rFonts w:ascii="Times New Roman" w:hAnsi="Times New Roman" w:cs="Times New Roman"/>
          <w:b/>
          <w:sz w:val="24"/>
        </w:rPr>
        <w:t>Table 13</w:t>
      </w:r>
      <w:r w:rsidR="00337558" w:rsidRPr="00B76167">
        <w:rPr>
          <w:rFonts w:ascii="Times New Roman" w:hAnsi="Times New Roman" w:cs="Times New Roman"/>
          <w:b/>
          <w:sz w:val="24"/>
        </w:rPr>
        <w:t>: Five major sectors</w:t>
      </w:r>
    </w:p>
    <w:tbl>
      <w:tblPr>
        <w:tblStyle w:val="TableGrid"/>
        <w:tblW w:w="0" w:type="auto"/>
        <w:tblLook w:val="04A0"/>
      </w:tblPr>
      <w:tblGrid>
        <w:gridCol w:w="3132"/>
        <w:gridCol w:w="3348"/>
        <w:gridCol w:w="2870"/>
      </w:tblGrid>
      <w:tr w:rsidR="00931B7E" w:rsidTr="00931B7E">
        <w:tc>
          <w:tcPr>
            <w:tcW w:w="3132" w:type="dxa"/>
          </w:tcPr>
          <w:p w:rsidR="00931B7E" w:rsidRPr="00931B7E" w:rsidRDefault="00931B7E" w:rsidP="00337558">
            <w:pPr>
              <w:rPr>
                <w:rFonts w:ascii="Times New Roman" w:hAnsi="Times New Roman" w:cs="Times New Roman"/>
                <w:b/>
                <w:sz w:val="24"/>
              </w:rPr>
            </w:pPr>
            <w:r w:rsidRPr="00931B7E">
              <w:rPr>
                <w:rFonts w:ascii="Times New Roman" w:hAnsi="Times New Roman" w:cs="Times New Roman"/>
                <w:b/>
                <w:sz w:val="24"/>
              </w:rPr>
              <w:t>Sector Code</w:t>
            </w:r>
          </w:p>
        </w:tc>
        <w:tc>
          <w:tcPr>
            <w:tcW w:w="3348" w:type="dxa"/>
          </w:tcPr>
          <w:p w:rsidR="00931B7E" w:rsidRPr="00931B7E" w:rsidRDefault="00931B7E" w:rsidP="00337558">
            <w:pPr>
              <w:rPr>
                <w:rFonts w:ascii="Times New Roman" w:hAnsi="Times New Roman" w:cs="Times New Roman"/>
                <w:b/>
                <w:sz w:val="24"/>
              </w:rPr>
            </w:pPr>
            <w:r w:rsidRPr="00931B7E">
              <w:rPr>
                <w:rFonts w:ascii="Times New Roman" w:hAnsi="Times New Roman" w:cs="Times New Roman"/>
                <w:b/>
                <w:sz w:val="24"/>
              </w:rPr>
              <w:t>Sector Name</w:t>
            </w:r>
          </w:p>
        </w:tc>
        <w:tc>
          <w:tcPr>
            <w:tcW w:w="2870" w:type="dxa"/>
          </w:tcPr>
          <w:p w:rsidR="00931B7E" w:rsidRPr="00931B7E" w:rsidRDefault="00931B7E" w:rsidP="00337558">
            <w:pPr>
              <w:rPr>
                <w:rFonts w:ascii="Times New Roman" w:hAnsi="Times New Roman" w:cs="Times New Roman"/>
                <w:b/>
                <w:sz w:val="24"/>
              </w:rPr>
            </w:pPr>
            <w:r>
              <w:rPr>
                <w:rFonts w:ascii="Times New Roman" w:hAnsi="Times New Roman" w:cs="Times New Roman"/>
                <w:b/>
                <w:sz w:val="24"/>
              </w:rPr>
              <w:t>No. of Companies</w:t>
            </w:r>
          </w:p>
        </w:tc>
      </w:tr>
      <w:tr w:rsidR="00931B7E" w:rsidTr="00931B7E">
        <w:tc>
          <w:tcPr>
            <w:tcW w:w="3132" w:type="dxa"/>
          </w:tcPr>
          <w:p w:rsidR="00931B7E" w:rsidRDefault="00931B7E" w:rsidP="00337558">
            <w:pPr>
              <w:rPr>
                <w:rFonts w:ascii="Times New Roman" w:hAnsi="Times New Roman" w:cs="Times New Roman"/>
                <w:sz w:val="24"/>
              </w:rPr>
            </w:pPr>
            <w:r>
              <w:rPr>
                <w:rFonts w:ascii="Times New Roman" w:hAnsi="Times New Roman" w:cs="Times New Roman"/>
                <w:sz w:val="24"/>
              </w:rPr>
              <w:t>807</w:t>
            </w:r>
          </w:p>
        </w:tc>
        <w:tc>
          <w:tcPr>
            <w:tcW w:w="3348" w:type="dxa"/>
          </w:tcPr>
          <w:p w:rsidR="00931B7E" w:rsidRDefault="00931B7E" w:rsidP="00337558">
            <w:pPr>
              <w:rPr>
                <w:rFonts w:ascii="Times New Roman" w:hAnsi="Times New Roman" w:cs="Times New Roman"/>
                <w:sz w:val="24"/>
              </w:rPr>
            </w:pPr>
            <w:r>
              <w:rPr>
                <w:rFonts w:ascii="Times New Roman" w:hAnsi="Times New Roman" w:cs="Times New Roman"/>
                <w:sz w:val="24"/>
              </w:rPr>
              <w:t>Commercial Banks</w:t>
            </w:r>
          </w:p>
        </w:tc>
        <w:tc>
          <w:tcPr>
            <w:tcW w:w="2870" w:type="dxa"/>
          </w:tcPr>
          <w:p w:rsidR="00931B7E" w:rsidRDefault="00931B7E" w:rsidP="00337558">
            <w:pPr>
              <w:rPr>
                <w:rFonts w:ascii="Times New Roman" w:hAnsi="Times New Roman" w:cs="Times New Roman"/>
                <w:sz w:val="24"/>
              </w:rPr>
            </w:pPr>
            <w:r>
              <w:rPr>
                <w:rFonts w:ascii="Times New Roman" w:hAnsi="Times New Roman" w:cs="Times New Roman"/>
                <w:sz w:val="24"/>
              </w:rPr>
              <w:t>14</w:t>
            </w:r>
          </w:p>
        </w:tc>
      </w:tr>
      <w:tr w:rsidR="00931B7E" w:rsidTr="00931B7E">
        <w:tc>
          <w:tcPr>
            <w:tcW w:w="3132" w:type="dxa"/>
          </w:tcPr>
          <w:p w:rsidR="00931B7E" w:rsidRDefault="00931B7E" w:rsidP="00337558">
            <w:pPr>
              <w:rPr>
                <w:rFonts w:ascii="Times New Roman" w:hAnsi="Times New Roman" w:cs="Times New Roman"/>
                <w:sz w:val="24"/>
              </w:rPr>
            </w:pPr>
            <w:r>
              <w:rPr>
                <w:rFonts w:ascii="Times New Roman" w:hAnsi="Times New Roman" w:cs="Times New Roman"/>
                <w:sz w:val="24"/>
              </w:rPr>
              <w:t>804</w:t>
            </w:r>
          </w:p>
        </w:tc>
        <w:tc>
          <w:tcPr>
            <w:tcW w:w="3348" w:type="dxa"/>
          </w:tcPr>
          <w:p w:rsidR="00931B7E" w:rsidRDefault="00931B7E" w:rsidP="00337558">
            <w:pPr>
              <w:rPr>
                <w:rFonts w:ascii="Times New Roman" w:hAnsi="Times New Roman" w:cs="Times New Roman"/>
                <w:sz w:val="24"/>
              </w:rPr>
            </w:pPr>
            <w:r>
              <w:rPr>
                <w:rFonts w:ascii="Times New Roman" w:hAnsi="Times New Roman" w:cs="Times New Roman"/>
                <w:sz w:val="24"/>
              </w:rPr>
              <w:t>Cement</w:t>
            </w:r>
          </w:p>
        </w:tc>
        <w:tc>
          <w:tcPr>
            <w:tcW w:w="2870" w:type="dxa"/>
          </w:tcPr>
          <w:p w:rsidR="00931B7E" w:rsidRDefault="00931B7E" w:rsidP="00337558">
            <w:pPr>
              <w:rPr>
                <w:rFonts w:ascii="Times New Roman" w:hAnsi="Times New Roman" w:cs="Times New Roman"/>
                <w:sz w:val="24"/>
              </w:rPr>
            </w:pPr>
            <w:r>
              <w:rPr>
                <w:rFonts w:ascii="Times New Roman" w:hAnsi="Times New Roman" w:cs="Times New Roman"/>
                <w:sz w:val="24"/>
              </w:rPr>
              <w:t>8</w:t>
            </w:r>
          </w:p>
        </w:tc>
      </w:tr>
      <w:tr w:rsidR="00931B7E" w:rsidTr="00931B7E">
        <w:tc>
          <w:tcPr>
            <w:tcW w:w="3132" w:type="dxa"/>
          </w:tcPr>
          <w:p w:rsidR="00931B7E" w:rsidRDefault="00931B7E" w:rsidP="00337558">
            <w:pPr>
              <w:rPr>
                <w:rFonts w:ascii="Times New Roman" w:hAnsi="Times New Roman" w:cs="Times New Roman"/>
                <w:sz w:val="24"/>
              </w:rPr>
            </w:pPr>
            <w:r>
              <w:rPr>
                <w:rFonts w:ascii="Times New Roman" w:hAnsi="Times New Roman" w:cs="Times New Roman"/>
                <w:sz w:val="24"/>
              </w:rPr>
              <w:t>809</w:t>
            </w:r>
          </w:p>
        </w:tc>
        <w:tc>
          <w:tcPr>
            <w:tcW w:w="3348" w:type="dxa"/>
          </w:tcPr>
          <w:p w:rsidR="00931B7E" w:rsidRDefault="00931B7E" w:rsidP="00337558">
            <w:pPr>
              <w:rPr>
                <w:rFonts w:ascii="Times New Roman" w:hAnsi="Times New Roman" w:cs="Times New Roman"/>
                <w:sz w:val="24"/>
              </w:rPr>
            </w:pPr>
            <w:r>
              <w:rPr>
                <w:rFonts w:ascii="Times New Roman" w:hAnsi="Times New Roman" w:cs="Times New Roman"/>
                <w:sz w:val="24"/>
              </w:rPr>
              <w:t>Fertilizer</w:t>
            </w:r>
          </w:p>
        </w:tc>
        <w:tc>
          <w:tcPr>
            <w:tcW w:w="2870" w:type="dxa"/>
          </w:tcPr>
          <w:p w:rsidR="00931B7E" w:rsidRDefault="00931B7E" w:rsidP="00337558">
            <w:pPr>
              <w:rPr>
                <w:rFonts w:ascii="Times New Roman" w:hAnsi="Times New Roman" w:cs="Times New Roman"/>
                <w:sz w:val="24"/>
              </w:rPr>
            </w:pPr>
            <w:r>
              <w:rPr>
                <w:rFonts w:ascii="Times New Roman" w:hAnsi="Times New Roman" w:cs="Times New Roman"/>
                <w:sz w:val="24"/>
              </w:rPr>
              <w:t>7</w:t>
            </w:r>
          </w:p>
        </w:tc>
      </w:tr>
      <w:tr w:rsidR="00931B7E" w:rsidTr="00931B7E">
        <w:tc>
          <w:tcPr>
            <w:tcW w:w="3132" w:type="dxa"/>
          </w:tcPr>
          <w:p w:rsidR="00931B7E" w:rsidRDefault="00931B7E" w:rsidP="00337558">
            <w:pPr>
              <w:rPr>
                <w:rFonts w:ascii="Times New Roman" w:hAnsi="Times New Roman" w:cs="Times New Roman"/>
                <w:sz w:val="24"/>
              </w:rPr>
            </w:pPr>
            <w:r>
              <w:rPr>
                <w:rFonts w:ascii="Times New Roman" w:hAnsi="Times New Roman" w:cs="Times New Roman"/>
                <w:sz w:val="24"/>
              </w:rPr>
              <w:t>810</w:t>
            </w:r>
          </w:p>
        </w:tc>
        <w:tc>
          <w:tcPr>
            <w:tcW w:w="3348" w:type="dxa"/>
          </w:tcPr>
          <w:p w:rsidR="00931B7E" w:rsidRDefault="00931B7E" w:rsidP="00337558">
            <w:pPr>
              <w:rPr>
                <w:rFonts w:ascii="Times New Roman" w:hAnsi="Times New Roman" w:cs="Times New Roman"/>
                <w:sz w:val="24"/>
              </w:rPr>
            </w:pPr>
            <w:r>
              <w:rPr>
                <w:rFonts w:ascii="Times New Roman" w:hAnsi="Times New Roman" w:cs="Times New Roman"/>
                <w:sz w:val="24"/>
              </w:rPr>
              <w:t>Food &amp; Personal Care Products</w:t>
            </w:r>
          </w:p>
        </w:tc>
        <w:tc>
          <w:tcPr>
            <w:tcW w:w="2870" w:type="dxa"/>
          </w:tcPr>
          <w:p w:rsidR="00931B7E" w:rsidRDefault="00931B7E" w:rsidP="00337558">
            <w:pPr>
              <w:rPr>
                <w:rFonts w:ascii="Times New Roman" w:hAnsi="Times New Roman" w:cs="Times New Roman"/>
                <w:sz w:val="24"/>
              </w:rPr>
            </w:pPr>
            <w:r>
              <w:rPr>
                <w:rFonts w:ascii="Times New Roman" w:hAnsi="Times New Roman" w:cs="Times New Roman"/>
                <w:sz w:val="24"/>
              </w:rPr>
              <w:t>5</w:t>
            </w:r>
          </w:p>
        </w:tc>
      </w:tr>
      <w:tr w:rsidR="00931B7E" w:rsidTr="00931B7E">
        <w:tc>
          <w:tcPr>
            <w:tcW w:w="3132" w:type="dxa"/>
          </w:tcPr>
          <w:p w:rsidR="00931B7E" w:rsidRDefault="00931B7E" w:rsidP="00337558">
            <w:pPr>
              <w:rPr>
                <w:rFonts w:ascii="Times New Roman" w:hAnsi="Times New Roman" w:cs="Times New Roman"/>
                <w:sz w:val="24"/>
              </w:rPr>
            </w:pPr>
            <w:r>
              <w:rPr>
                <w:rFonts w:ascii="Times New Roman" w:hAnsi="Times New Roman" w:cs="Times New Roman"/>
                <w:sz w:val="24"/>
              </w:rPr>
              <w:t>812</w:t>
            </w:r>
          </w:p>
        </w:tc>
        <w:tc>
          <w:tcPr>
            <w:tcW w:w="3348" w:type="dxa"/>
          </w:tcPr>
          <w:p w:rsidR="00931B7E" w:rsidRDefault="00931B7E" w:rsidP="00337558">
            <w:pPr>
              <w:rPr>
                <w:rFonts w:ascii="Times New Roman" w:hAnsi="Times New Roman" w:cs="Times New Roman"/>
                <w:sz w:val="24"/>
              </w:rPr>
            </w:pPr>
            <w:r>
              <w:rPr>
                <w:rFonts w:ascii="Times New Roman" w:hAnsi="Times New Roman" w:cs="Times New Roman"/>
                <w:sz w:val="24"/>
              </w:rPr>
              <w:t>Insurance</w:t>
            </w:r>
          </w:p>
        </w:tc>
        <w:tc>
          <w:tcPr>
            <w:tcW w:w="2870" w:type="dxa"/>
          </w:tcPr>
          <w:p w:rsidR="00931B7E" w:rsidRDefault="00931B7E" w:rsidP="00337558">
            <w:pPr>
              <w:rPr>
                <w:rFonts w:ascii="Times New Roman" w:hAnsi="Times New Roman" w:cs="Times New Roman"/>
                <w:sz w:val="24"/>
              </w:rPr>
            </w:pPr>
            <w:r>
              <w:rPr>
                <w:rFonts w:ascii="Times New Roman" w:hAnsi="Times New Roman" w:cs="Times New Roman"/>
                <w:sz w:val="24"/>
              </w:rPr>
              <w:t>5</w:t>
            </w:r>
          </w:p>
        </w:tc>
      </w:tr>
    </w:tbl>
    <w:p w:rsidR="00337558" w:rsidRDefault="00337558" w:rsidP="00337558">
      <w:pPr>
        <w:rPr>
          <w:rFonts w:ascii="Times New Roman" w:hAnsi="Times New Roman" w:cs="Times New Roman"/>
          <w:sz w:val="24"/>
        </w:rPr>
      </w:pPr>
    </w:p>
    <w:p w:rsidR="008E3765" w:rsidRPr="00321E0C" w:rsidRDefault="006F4098" w:rsidP="006C361F">
      <w:pPr>
        <w:spacing w:after="0" w:line="480" w:lineRule="auto"/>
        <w:jc w:val="both"/>
        <w:rPr>
          <w:rFonts w:ascii="Times New Roman" w:hAnsi="Times New Roman" w:cs="Times New Roman"/>
          <w:sz w:val="24"/>
        </w:rPr>
      </w:pPr>
      <w:r>
        <w:rPr>
          <w:rFonts w:ascii="Times New Roman" w:hAnsi="Times New Roman" w:cs="Times New Roman"/>
          <w:sz w:val="24"/>
        </w:rPr>
        <w:t>We have reported t</w:t>
      </w:r>
      <w:r w:rsidR="00E17722">
        <w:rPr>
          <w:rFonts w:ascii="Times New Roman" w:hAnsi="Times New Roman" w:cs="Times New Roman"/>
          <w:sz w:val="24"/>
        </w:rPr>
        <w:t>he results of CAPM and Factor model with contr</w:t>
      </w:r>
      <w:r w:rsidR="00A035E2">
        <w:rPr>
          <w:rFonts w:ascii="Times New Roman" w:hAnsi="Times New Roman" w:cs="Times New Roman"/>
          <w:sz w:val="24"/>
        </w:rPr>
        <w:t>ol for major sectors in Table 14 and Table 15</w:t>
      </w:r>
      <w:r w:rsidR="00E17722">
        <w:rPr>
          <w:rFonts w:ascii="Times New Roman" w:hAnsi="Times New Roman" w:cs="Times New Roman"/>
          <w:sz w:val="24"/>
        </w:rPr>
        <w:t xml:space="preserve"> respectively. </w:t>
      </w:r>
    </w:p>
    <w:p w:rsidR="006A48C8" w:rsidRDefault="00A035E2" w:rsidP="008D3818">
      <w:pPr>
        <w:spacing w:after="0" w:line="360" w:lineRule="auto"/>
        <w:rPr>
          <w:rFonts w:ascii="Times New Roman" w:hAnsi="Times New Roman" w:cs="Times New Roman"/>
          <w:sz w:val="24"/>
        </w:rPr>
      </w:pPr>
      <w:r>
        <w:rPr>
          <w:rFonts w:ascii="Times New Roman" w:hAnsi="Times New Roman" w:cs="Times New Roman"/>
          <w:b/>
          <w:sz w:val="24"/>
        </w:rPr>
        <w:t>Table 14</w:t>
      </w:r>
      <w:r w:rsidR="00645F7E" w:rsidRPr="00645F7E">
        <w:rPr>
          <w:rFonts w:ascii="Times New Roman" w:hAnsi="Times New Roman" w:cs="Times New Roman"/>
          <w:b/>
          <w:sz w:val="24"/>
        </w:rPr>
        <w:t>:</w:t>
      </w:r>
      <w:r w:rsidR="00645F7E">
        <w:rPr>
          <w:rFonts w:ascii="Times New Roman" w:hAnsi="Times New Roman" w:cs="Times New Roman"/>
          <w:b/>
          <w:szCs w:val="24"/>
        </w:rPr>
        <w:t>Relative Performance of Futures Listed Stocks and Non-Futures Listed Stocks in Major Sectors</w:t>
      </w:r>
    </w:p>
    <w:tbl>
      <w:tblPr>
        <w:tblStyle w:val="TableGrid"/>
        <w:tblW w:w="9805" w:type="dxa"/>
        <w:tblLook w:val="04A0"/>
      </w:tblPr>
      <w:tblGrid>
        <w:gridCol w:w="2086"/>
        <w:gridCol w:w="1239"/>
        <w:gridCol w:w="1188"/>
        <w:gridCol w:w="1260"/>
        <w:gridCol w:w="1188"/>
        <w:gridCol w:w="1577"/>
        <w:gridCol w:w="1267"/>
      </w:tblGrid>
      <w:tr w:rsidR="00645F7E" w:rsidRPr="00D01C63" w:rsidTr="00646395">
        <w:trPr>
          <w:trHeight w:val="422"/>
        </w:trPr>
        <w:tc>
          <w:tcPr>
            <w:tcW w:w="2086" w:type="dxa"/>
            <w:noWrap/>
            <w:hideMark/>
          </w:tcPr>
          <w:p w:rsidR="00645F7E" w:rsidRPr="000F406E" w:rsidRDefault="00645F7E" w:rsidP="00646395">
            <w:pPr>
              <w:jc w:val="center"/>
              <w:rPr>
                <w:rFonts w:ascii="Times New Roman" w:hAnsi="Times New Roman" w:cs="Times New Roman"/>
                <w:b/>
                <w:bCs/>
                <w:sz w:val="24"/>
                <w:szCs w:val="24"/>
              </w:rPr>
            </w:pPr>
            <w:r w:rsidRPr="000F406E">
              <w:rPr>
                <w:rFonts w:ascii="Times New Roman" w:hAnsi="Times New Roman" w:cs="Times New Roman"/>
                <w:b/>
                <w:bCs/>
                <w:sz w:val="24"/>
                <w:szCs w:val="24"/>
              </w:rPr>
              <w:t>Period</w:t>
            </w:r>
          </w:p>
        </w:tc>
        <w:tc>
          <w:tcPr>
            <w:tcW w:w="1239" w:type="dxa"/>
            <w:noWrap/>
            <w:hideMark/>
          </w:tcPr>
          <w:p w:rsidR="00645F7E" w:rsidRPr="000F406E" w:rsidRDefault="00645F7E" w:rsidP="00646395">
            <w:pPr>
              <w:jc w:val="center"/>
              <w:rPr>
                <w:rFonts w:ascii="Times New Roman" w:hAnsi="Times New Roman" w:cs="Times New Roman"/>
                <w:b/>
                <w:bCs/>
                <w:sz w:val="24"/>
                <w:szCs w:val="24"/>
              </w:rPr>
            </w:pPr>
            <w:r w:rsidRPr="000F406E">
              <w:rPr>
                <w:rFonts w:ascii="Times New Roman" w:hAnsi="Times New Roman" w:cs="Times New Roman"/>
                <w:b/>
                <w:bCs/>
                <w:sz w:val="24"/>
                <w:szCs w:val="24"/>
              </w:rPr>
              <w:t>α</w:t>
            </w:r>
            <w:r w:rsidRPr="000F406E">
              <w:rPr>
                <w:rFonts w:ascii="Times New Roman" w:hAnsi="Times New Roman" w:cs="Times New Roman"/>
                <w:b/>
                <w:bCs/>
                <w:sz w:val="24"/>
                <w:szCs w:val="24"/>
                <w:vertAlign w:val="subscript"/>
              </w:rPr>
              <w:t>i</w:t>
            </w:r>
          </w:p>
        </w:tc>
        <w:tc>
          <w:tcPr>
            <w:tcW w:w="1188" w:type="dxa"/>
            <w:noWrap/>
            <w:hideMark/>
          </w:tcPr>
          <w:p w:rsidR="00645F7E" w:rsidRPr="000F406E" w:rsidRDefault="00645F7E" w:rsidP="00646395">
            <w:pPr>
              <w:jc w:val="center"/>
              <w:rPr>
                <w:rFonts w:ascii="Times New Roman" w:hAnsi="Times New Roman" w:cs="Times New Roman"/>
                <w:b/>
                <w:bCs/>
                <w:sz w:val="24"/>
                <w:szCs w:val="24"/>
              </w:rPr>
            </w:pPr>
          </w:p>
        </w:tc>
        <w:tc>
          <w:tcPr>
            <w:tcW w:w="1260" w:type="dxa"/>
            <w:noWrap/>
            <w:hideMark/>
          </w:tcPr>
          <w:p w:rsidR="00645F7E" w:rsidRPr="000F406E" w:rsidRDefault="00645F7E" w:rsidP="00646395">
            <w:pPr>
              <w:jc w:val="center"/>
              <w:rPr>
                <w:rFonts w:ascii="Times New Roman" w:hAnsi="Times New Roman" w:cs="Times New Roman"/>
                <w:b/>
                <w:bCs/>
                <w:sz w:val="24"/>
                <w:szCs w:val="24"/>
              </w:rPr>
            </w:pPr>
            <w:r w:rsidRPr="000F406E">
              <w:rPr>
                <w:rFonts w:ascii="Times New Roman" w:hAnsi="Times New Roman" w:cs="Times New Roman"/>
                <w:b/>
                <w:bCs/>
                <w:sz w:val="24"/>
                <w:szCs w:val="24"/>
              </w:rPr>
              <w:t>β</w:t>
            </w:r>
            <w:r w:rsidRPr="000F406E">
              <w:rPr>
                <w:rFonts w:ascii="Times New Roman" w:hAnsi="Times New Roman" w:cs="Times New Roman"/>
                <w:b/>
                <w:bCs/>
                <w:sz w:val="24"/>
                <w:szCs w:val="24"/>
                <w:vertAlign w:val="subscript"/>
              </w:rPr>
              <w:t>i</w:t>
            </w:r>
          </w:p>
        </w:tc>
        <w:tc>
          <w:tcPr>
            <w:tcW w:w="1188" w:type="dxa"/>
            <w:noWrap/>
            <w:hideMark/>
          </w:tcPr>
          <w:p w:rsidR="00645F7E" w:rsidRPr="000F406E" w:rsidRDefault="00645F7E" w:rsidP="00646395">
            <w:pPr>
              <w:jc w:val="center"/>
              <w:rPr>
                <w:rFonts w:ascii="Times New Roman" w:hAnsi="Times New Roman" w:cs="Times New Roman"/>
                <w:sz w:val="24"/>
                <w:szCs w:val="24"/>
              </w:rPr>
            </w:pPr>
          </w:p>
        </w:tc>
        <w:tc>
          <w:tcPr>
            <w:tcW w:w="1577" w:type="dxa"/>
            <w:noWrap/>
            <w:hideMark/>
          </w:tcPr>
          <w:p w:rsidR="00645F7E" w:rsidRPr="000F406E" w:rsidRDefault="00645F7E" w:rsidP="00646395">
            <w:pPr>
              <w:jc w:val="center"/>
              <w:rPr>
                <w:rFonts w:ascii="Times New Roman" w:hAnsi="Times New Roman" w:cs="Times New Roman"/>
                <w:b/>
                <w:bCs/>
                <w:sz w:val="24"/>
                <w:szCs w:val="24"/>
              </w:rPr>
            </w:pPr>
            <w:r w:rsidRPr="000F406E">
              <w:rPr>
                <w:rFonts w:ascii="Times New Roman" w:hAnsi="Times New Roman" w:cs="Times New Roman"/>
                <w:b/>
                <w:bCs/>
                <w:sz w:val="24"/>
                <w:szCs w:val="24"/>
              </w:rPr>
              <w:t>Observations</w:t>
            </w:r>
          </w:p>
        </w:tc>
        <w:tc>
          <w:tcPr>
            <w:tcW w:w="1267" w:type="dxa"/>
            <w:noWrap/>
            <w:hideMark/>
          </w:tcPr>
          <w:p w:rsidR="00645F7E" w:rsidRPr="000F406E" w:rsidRDefault="00645F7E" w:rsidP="00646395">
            <w:pPr>
              <w:jc w:val="center"/>
              <w:rPr>
                <w:rFonts w:ascii="Times New Roman" w:hAnsi="Times New Roman" w:cs="Times New Roman"/>
                <w:b/>
                <w:bCs/>
                <w:sz w:val="24"/>
                <w:szCs w:val="24"/>
              </w:rPr>
            </w:pPr>
            <w:r w:rsidRPr="000F406E">
              <w:rPr>
                <w:rFonts w:ascii="Times New Roman" w:hAnsi="Times New Roman" w:cs="Times New Roman"/>
                <w:b/>
                <w:bCs/>
                <w:sz w:val="24"/>
                <w:szCs w:val="24"/>
              </w:rPr>
              <w:t>R-squared</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13H1</w:t>
            </w:r>
            <w:r w:rsidRPr="003A0F6F">
              <w:rPr>
                <w:rFonts w:ascii="Times New Roman" w:eastAsia="Times New Roman" w:hAnsi="Times New Roman" w:cs="Times New Roman"/>
                <w:b/>
                <w:bCs/>
                <w:color w:val="000000"/>
                <w:sz w:val="20"/>
                <w:szCs w:val="20"/>
              </w:rPr>
              <w:t>_Portfolio_FL</w:t>
            </w:r>
          </w:p>
        </w:tc>
        <w:tc>
          <w:tcPr>
            <w:tcW w:w="12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-0.390891</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(0.0493)**</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1.06999</w:t>
            </w:r>
          </w:p>
        </w:tc>
        <w:tc>
          <w:tcPr>
            <w:tcW w:w="1188" w:type="dxa"/>
            <w:tcBorders>
              <w:top w:val="single" w:sz="4" w:space="0" w:color="auto"/>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(0.0100)**</w:t>
            </w:r>
          </w:p>
        </w:tc>
        <w:tc>
          <w:tcPr>
            <w:tcW w:w="1577" w:type="dxa"/>
            <w:tcBorders>
              <w:top w:val="single" w:sz="4" w:space="0" w:color="auto"/>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23490</w:t>
            </w:r>
          </w:p>
        </w:tc>
        <w:tc>
          <w:tcPr>
            <w:tcW w:w="1267" w:type="dxa"/>
            <w:tcBorders>
              <w:top w:val="single" w:sz="4" w:space="0" w:color="auto"/>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0.3288</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13H1</w:t>
            </w:r>
            <w:r w:rsidRPr="003A0F6F">
              <w:rPr>
                <w:rFonts w:ascii="Times New Roman" w:eastAsia="Times New Roman" w:hAnsi="Times New Roman" w:cs="Times New Roman"/>
                <w:b/>
                <w:bCs/>
                <w:color w:val="000000"/>
                <w:sz w:val="20"/>
                <w:szCs w:val="20"/>
              </w:rPr>
              <w:t>_Portfolio_NFL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0.336589</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(0.0817)**</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0.875632</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(0.0166)**</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27135</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0.0934</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13H2</w:t>
            </w:r>
            <w:r w:rsidRPr="003A0F6F">
              <w:rPr>
                <w:rFonts w:ascii="Times New Roman" w:eastAsia="Times New Roman" w:hAnsi="Times New Roman" w:cs="Times New Roman"/>
                <w:b/>
                <w:bCs/>
                <w:color w:val="000000"/>
                <w:sz w:val="20"/>
                <w:szCs w:val="20"/>
              </w:rPr>
              <w:t>_Portfolio_FL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-0.409725</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(0.0494)**</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1.097521</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(0.0100)**</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24795</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0.3268</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13H2</w:t>
            </w:r>
            <w:r w:rsidRPr="003A0F6F">
              <w:rPr>
                <w:rFonts w:ascii="Times New Roman" w:eastAsia="Times New Roman" w:hAnsi="Times New Roman" w:cs="Times New Roman"/>
                <w:b/>
                <w:bCs/>
                <w:color w:val="000000"/>
                <w:sz w:val="20"/>
                <w:szCs w:val="20"/>
              </w:rPr>
              <w:t>_Portfolio_NFL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0.390703</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(0.0843)**</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0.839339</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(0.0171)**</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25830</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0.0854</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14H1</w:t>
            </w:r>
            <w:r w:rsidRPr="003A0F6F">
              <w:rPr>
                <w:rFonts w:ascii="Times New Roman" w:eastAsia="Times New Roman" w:hAnsi="Times New Roman" w:cs="Times New Roman"/>
                <w:b/>
                <w:bCs/>
                <w:color w:val="000000"/>
                <w:sz w:val="20"/>
                <w:szCs w:val="20"/>
              </w:rPr>
              <w:t>_Portfolio_FL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-0.299339</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(0.0472)**</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1.124742</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(0.0096)**</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28710</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0.3256</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14H1</w:t>
            </w:r>
            <w:r w:rsidRPr="003A0F6F">
              <w:rPr>
                <w:rFonts w:ascii="Times New Roman" w:eastAsia="Times New Roman" w:hAnsi="Times New Roman" w:cs="Times New Roman"/>
                <w:b/>
                <w:bCs/>
                <w:color w:val="000000"/>
                <w:sz w:val="20"/>
                <w:szCs w:val="20"/>
              </w:rPr>
              <w:t>_Portfolio_NFL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0.387307</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(0.0956)**</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0.7573</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(0.0194)**</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21915</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0.0651</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14H2</w:t>
            </w:r>
            <w:r w:rsidRPr="003A0F6F">
              <w:rPr>
                <w:rFonts w:ascii="Times New Roman" w:eastAsia="Times New Roman" w:hAnsi="Times New Roman" w:cs="Times New Roman"/>
                <w:b/>
                <w:bCs/>
                <w:color w:val="000000"/>
                <w:sz w:val="20"/>
                <w:szCs w:val="20"/>
              </w:rPr>
              <w:t>_Portfolio_FL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-0.299339</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(0.0472)**</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1.124742</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(0.0096)**</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28710</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0.3256</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14H2</w:t>
            </w:r>
            <w:r w:rsidRPr="003A0F6F">
              <w:rPr>
                <w:rFonts w:ascii="Times New Roman" w:eastAsia="Times New Roman" w:hAnsi="Times New Roman" w:cs="Times New Roman"/>
                <w:b/>
                <w:bCs/>
                <w:color w:val="000000"/>
                <w:sz w:val="20"/>
                <w:szCs w:val="20"/>
              </w:rPr>
              <w:t>_Portfolio_NFL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0.387307</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(0.0956)**</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0.7573</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(0.0194)**</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21915</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0.0651</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15H1</w:t>
            </w:r>
            <w:r w:rsidRPr="003A0F6F">
              <w:rPr>
                <w:rFonts w:ascii="Times New Roman" w:eastAsia="Times New Roman" w:hAnsi="Times New Roman" w:cs="Times New Roman"/>
                <w:b/>
                <w:bCs/>
                <w:color w:val="000000"/>
                <w:sz w:val="20"/>
                <w:szCs w:val="20"/>
              </w:rPr>
              <w:t>_Portfolio_FL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-0.251706</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(0.0498)**</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1.10281</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(0.0101)**</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25841</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0.3159</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15H1</w:t>
            </w:r>
            <w:r w:rsidRPr="003A0F6F">
              <w:rPr>
                <w:rFonts w:ascii="Times New Roman" w:eastAsia="Times New Roman" w:hAnsi="Times New Roman" w:cs="Times New Roman"/>
                <w:b/>
                <w:bCs/>
                <w:color w:val="000000"/>
                <w:sz w:val="20"/>
                <w:szCs w:val="20"/>
              </w:rPr>
              <w:t>_Portfolio_NFL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0.264988</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(0.0865)**</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0.823121</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(0.0175)**</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24784</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0.0819</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lastRenderedPageBreak/>
              <w:t>15H2</w:t>
            </w:r>
            <w:r w:rsidRPr="003A0F6F">
              <w:rPr>
                <w:rFonts w:ascii="Times New Roman" w:eastAsia="Times New Roman" w:hAnsi="Times New Roman" w:cs="Times New Roman"/>
                <w:b/>
                <w:bCs/>
                <w:color w:val="000000"/>
                <w:sz w:val="20"/>
                <w:szCs w:val="20"/>
              </w:rPr>
              <w:t>_Portfolio_FL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-0.287689</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(0.0488)**</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1.11483</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(0.0099)**</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27146</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0.3185</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15H2</w:t>
            </w:r>
            <w:r w:rsidRPr="003A0F6F">
              <w:rPr>
                <w:rFonts w:ascii="Times New Roman" w:eastAsia="Times New Roman" w:hAnsi="Times New Roman" w:cs="Times New Roman"/>
                <w:b/>
                <w:bCs/>
                <w:color w:val="000000"/>
                <w:sz w:val="20"/>
                <w:szCs w:val="20"/>
              </w:rPr>
              <w:t>_Portfolio_NFL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0.335521</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(0.0902)**</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0.793692</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(0.0183)**</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23479</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0.0745</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16H1</w:t>
            </w:r>
            <w:r w:rsidRPr="003A0F6F">
              <w:rPr>
                <w:rFonts w:ascii="Times New Roman" w:eastAsia="Times New Roman" w:hAnsi="Times New Roman" w:cs="Times New Roman"/>
                <w:b/>
                <w:bCs/>
                <w:color w:val="000000"/>
                <w:sz w:val="20"/>
                <w:szCs w:val="20"/>
              </w:rPr>
              <w:t>_Portfolio_FL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-0.294708</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(0.0520)**</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1.111485</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(0.0106)**</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24536</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0.3111</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16H1</w:t>
            </w:r>
            <w:r w:rsidRPr="003A0F6F">
              <w:rPr>
                <w:rFonts w:ascii="Times New Roman" w:eastAsia="Times New Roman" w:hAnsi="Times New Roman" w:cs="Times New Roman"/>
                <w:b/>
                <w:bCs/>
                <w:color w:val="000000"/>
                <w:sz w:val="20"/>
                <w:szCs w:val="20"/>
              </w:rPr>
              <w:t>_Portfolio_NFL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0.279776</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(0.0823)**</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0.82894</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(0.0167)**</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26089</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0.0866</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16H2</w:t>
            </w:r>
            <w:r w:rsidRPr="003A0F6F">
              <w:rPr>
                <w:rFonts w:ascii="Times New Roman" w:eastAsia="Times New Roman" w:hAnsi="Times New Roman" w:cs="Times New Roman"/>
                <w:b/>
                <w:bCs/>
                <w:color w:val="000000"/>
                <w:sz w:val="20"/>
                <w:szCs w:val="20"/>
              </w:rPr>
              <w:t>_Portfolio_FL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-0.373316</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(0.0483)**</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1.104562</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(0.0098)**</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27146</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0.3186</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16H2</w:t>
            </w:r>
            <w:r w:rsidRPr="003A0F6F">
              <w:rPr>
                <w:rFonts w:ascii="Times New Roman" w:eastAsia="Times New Roman" w:hAnsi="Times New Roman" w:cs="Times New Roman"/>
                <w:b/>
                <w:bCs/>
                <w:color w:val="000000"/>
                <w:sz w:val="20"/>
                <w:szCs w:val="20"/>
              </w:rPr>
              <w:t>_Portfolio_NFL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0.434427</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(0.0905)**</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0.805454</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(0.0183)**</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23479</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0.076</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17H1</w:t>
            </w:r>
            <w:r w:rsidRPr="003A0F6F">
              <w:rPr>
                <w:rFonts w:ascii="Times New Roman" w:eastAsia="Times New Roman" w:hAnsi="Times New Roman" w:cs="Times New Roman"/>
                <w:b/>
                <w:bCs/>
                <w:color w:val="000000"/>
                <w:sz w:val="20"/>
                <w:szCs w:val="20"/>
              </w:rPr>
              <w:t>_Portfolio_FL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-0.454576</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(0.0517)**</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1.106239</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(0.0105)**</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21926</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0.3362</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17H1</w:t>
            </w:r>
            <w:r w:rsidRPr="003A0F6F">
              <w:rPr>
                <w:rFonts w:ascii="Times New Roman" w:eastAsia="Times New Roman" w:hAnsi="Times New Roman" w:cs="Times New Roman"/>
                <w:b/>
                <w:bCs/>
                <w:color w:val="000000"/>
                <w:sz w:val="20"/>
                <w:szCs w:val="20"/>
              </w:rPr>
              <w:t>_Portfolio_NFL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0.349753</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(0.0776)**</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0.858505</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(0.0157)**</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28699</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0.0942</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17H2</w:t>
            </w:r>
            <w:r w:rsidRPr="003A0F6F">
              <w:rPr>
                <w:rFonts w:ascii="Times New Roman" w:eastAsia="Times New Roman" w:hAnsi="Times New Roman" w:cs="Times New Roman"/>
                <w:b/>
                <w:bCs/>
                <w:color w:val="000000"/>
                <w:sz w:val="20"/>
                <w:szCs w:val="20"/>
              </w:rPr>
              <w:t>_Portfolio_FL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-0.504496</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(0.0550)**</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1.127298</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(0.0112)**</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20621</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0.3309</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17H2</w:t>
            </w:r>
            <w:r w:rsidRPr="003A0F6F">
              <w:rPr>
                <w:rFonts w:ascii="Times New Roman" w:eastAsia="Times New Roman" w:hAnsi="Times New Roman" w:cs="Times New Roman"/>
                <w:b/>
                <w:bCs/>
                <w:color w:val="000000"/>
                <w:sz w:val="20"/>
                <w:szCs w:val="20"/>
              </w:rPr>
              <w:t>_Portfolio_NFL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0.349421</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(0.0742)**</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0.854821</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(0.0150)**</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30004</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0.0974</w:t>
            </w:r>
          </w:p>
        </w:tc>
      </w:tr>
      <w:tr w:rsidR="005C6799" w:rsidRPr="00D01C63" w:rsidTr="002E6858">
        <w:trPr>
          <w:trHeight w:val="300"/>
        </w:trPr>
        <w:tc>
          <w:tcPr>
            <w:tcW w:w="2086" w:type="dxa"/>
            <w:noWrap/>
            <w:vAlign w:val="center"/>
            <w:hideMark/>
          </w:tcPr>
          <w:p w:rsidR="005C6799" w:rsidRPr="00A837B8" w:rsidRDefault="005C6799" w:rsidP="005C6799">
            <w:pPr>
              <w:rPr>
                <w:rFonts w:ascii="Times New Roman" w:hAnsi="Times New Roman" w:cs="Times New Roman"/>
                <w:b/>
                <w:bCs/>
                <w:sz w:val="20"/>
                <w:szCs w:val="24"/>
              </w:rPr>
            </w:pPr>
            <w:r>
              <w:rPr>
                <w:rFonts w:ascii="Times New Roman" w:eastAsia="Times New Roman" w:hAnsi="Times New Roman" w:cs="Times New Roman"/>
                <w:b/>
                <w:bCs/>
                <w:color w:val="000000"/>
                <w:sz w:val="20"/>
                <w:szCs w:val="20"/>
              </w:rPr>
              <w:t>18H1</w:t>
            </w:r>
            <w:r w:rsidRPr="003A0F6F">
              <w:rPr>
                <w:rFonts w:ascii="Times New Roman" w:eastAsia="Times New Roman" w:hAnsi="Times New Roman" w:cs="Times New Roman"/>
                <w:b/>
                <w:bCs/>
                <w:color w:val="000000"/>
                <w:sz w:val="20"/>
                <w:szCs w:val="20"/>
              </w:rPr>
              <w:t>_Portfolio_FL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-0.277738</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(0.0471)**</w:t>
            </w:r>
          </w:p>
        </w:tc>
        <w:tc>
          <w:tcPr>
            <w:tcW w:w="1260"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1.120236</w:t>
            </w:r>
          </w:p>
        </w:tc>
        <w:tc>
          <w:tcPr>
            <w:tcW w:w="1188"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rPr>
                <w:rFonts w:ascii="Times New Roman" w:hAnsi="Times New Roman" w:cs="Times New Roman"/>
                <w:sz w:val="20"/>
              </w:rPr>
            </w:pPr>
            <w:r w:rsidRPr="00A837B8">
              <w:rPr>
                <w:rFonts w:ascii="Times New Roman" w:hAnsi="Times New Roman" w:cs="Times New Roman"/>
                <w:color w:val="000000"/>
                <w:sz w:val="20"/>
              </w:rPr>
              <w:t>(0.0096)**</w:t>
            </w:r>
          </w:p>
        </w:tc>
        <w:tc>
          <w:tcPr>
            <w:tcW w:w="157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28451</w:t>
            </w:r>
          </w:p>
        </w:tc>
        <w:tc>
          <w:tcPr>
            <w:tcW w:w="1267" w:type="dxa"/>
            <w:tcBorders>
              <w:top w:val="nil"/>
              <w:left w:val="nil"/>
              <w:bottom w:val="single" w:sz="4" w:space="0" w:color="auto"/>
              <w:right w:val="single" w:sz="4" w:space="0" w:color="auto"/>
            </w:tcBorders>
            <w:shd w:val="clear" w:color="auto" w:fill="auto"/>
            <w:noWrap/>
            <w:vAlign w:val="bottom"/>
          </w:tcPr>
          <w:p w:rsidR="005C6799" w:rsidRPr="00A837B8" w:rsidRDefault="005C6799" w:rsidP="005C6799">
            <w:pPr>
              <w:jc w:val="center"/>
              <w:rPr>
                <w:rFonts w:ascii="Times New Roman" w:hAnsi="Times New Roman" w:cs="Times New Roman"/>
                <w:sz w:val="20"/>
              </w:rPr>
            </w:pPr>
            <w:r w:rsidRPr="00A837B8">
              <w:rPr>
                <w:rFonts w:ascii="Times New Roman" w:hAnsi="Times New Roman" w:cs="Times New Roman"/>
                <w:color w:val="000000"/>
                <w:sz w:val="20"/>
              </w:rPr>
              <w:t>0.3256</w:t>
            </w:r>
          </w:p>
        </w:tc>
      </w:tr>
      <w:tr w:rsidR="00645F7E" w:rsidRPr="00D01C63" w:rsidTr="00646395">
        <w:trPr>
          <w:trHeight w:val="300"/>
        </w:trPr>
        <w:tc>
          <w:tcPr>
            <w:tcW w:w="2086" w:type="dxa"/>
            <w:noWrap/>
            <w:hideMark/>
          </w:tcPr>
          <w:p w:rsidR="00645F7E" w:rsidRPr="00A837B8" w:rsidRDefault="00645F7E" w:rsidP="00645F7E">
            <w:pPr>
              <w:rPr>
                <w:rFonts w:ascii="Times New Roman" w:hAnsi="Times New Roman" w:cs="Times New Roman"/>
                <w:b/>
                <w:bCs/>
                <w:sz w:val="20"/>
                <w:szCs w:val="24"/>
              </w:rPr>
            </w:pPr>
            <w:r w:rsidRPr="00A837B8">
              <w:rPr>
                <w:rFonts w:ascii="Times New Roman" w:hAnsi="Times New Roman" w:cs="Times New Roman"/>
                <w:b/>
                <w:bCs/>
                <w:sz w:val="20"/>
                <w:szCs w:val="24"/>
              </w:rPr>
              <w:t>18A_Portfolio_NFL</w:t>
            </w:r>
          </w:p>
        </w:tc>
        <w:tc>
          <w:tcPr>
            <w:tcW w:w="1239" w:type="dxa"/>
            <w:tcBorders>
              <w:top w:val="nil"/>
              <w:left w:val="single" w:sz="4" w:space="0" w:color="auto"/>
              <w:bottom w:val="single" w:sz="4" w:space="0" w:color="auto"/>
              <w:right w:val="single" w:sz="4" w:space="0" w:color="auto"/>
            </w:tcBorders>
            <w:shd w:val="clear" w:color="auto" w:fill="auto"/>
            <w:noWrap/>
            <w:vAlign w:val="bottom"/>
          </w:tcPr>
          <w:p w:rsidR="00645F7E" w:rsidRPr="00A837B8" w:rsidRDefault="00645F7E" w:rsidP="00645F7E">
            <w:pPr>
              <w:rPr>
                <w:rFonts w:ascii="Times New Roman" w:hAnsi="Times New Roman" w:cs="Times New Roman"/>
                <w:sz w:val="20"/>
              </w:rPr>
            </w:pPr>
            <w:r w:rsidRPr="00A837B8">
              <w:rPr>
                <w:rFonts w:ascii="Times New Roman" w:hAnsi="Times New Roman" w:cs="Times New Roman"/>
                <w:color w:val="000000"/>
                <w:sz w:val="20"/>
              </w:rPr>
              <w:t>0.359484</w:t>
            </w:r>
          </w:p>
        </w:tc>
        <w:tc>
          <w:tcPr>
            <w:tcW w:w="1188" w:type="dxa"/>
            <w:tcBorders>
              <w:top w:val="nil"/>
              <w:left w:val="nil"/>
              <w:bottom w:val="single" w:sz="4" w:space="0" w:color="auto"/>
              <w:right w:val="single" w:sz="4" w:space="0" w:color="auto"/>
            </w:tcBorders>
            <w:shd w:val="clear" w:color="auto" w:fill="auto"/>
            <w:noWrap/>
            <w:vAlign w:val="bottom"/>
          </w:tcPr>
          <w:p w:rsidR="00645F7E" w:rsidRPr="00A837B8" w:rsidRDefault="00645F7E" w:rsidP="00645F7E">
            <w:pPr>
              <w:rPr>
                <w:rFonts w:ascii="Times New Roman" w:hAnsi="Times New Roman" w:cs="Times New Roman"/>
                <w:sz w:val="20"/>
              </w:rPr>
            </w:pPr>
            <w:r w:rsidRPr="00A837B8">
              <w:rPr>
                <w:rFonts w:ascii="Times New Roman" w:hAnsi="Times New Roman" w:cs="Times New Roman"/>
                <w:color w:val="000000"/>
                <w:sz w:val="20"/>
              </w:rPr>
              <w:t>(0.0949)**</w:t>
            </w:r>
          </w:p>
        </w:tc>
        <w:tc>
          <w:tcPr>
            <w:tcW w:w="1260" w:type="dxa"/>
            <w:tcBorders>
              <w:top w:val="nil"/>
              <w:left w:val="nil"/>
              <w:bottom w:val="single" w:sz="4" w:space="0" w:color="auto"/>
              <w:right w:val="single" w:sz="4" w:space="0" w:color="auto"/>
            </w:tcBorders>
            <w:shd w:val="clear" w:color="auto" w:fill="auto"/>
            <w:noWrap/>
            <w:vAlign w:val="bottom"/>
          </w:tcPr>
          <w:p w:rsidR="00645F7E" w:rsidRPr="00A837B8" w:rsidRDefault="00645F7E" w:rsidP="00645F7E">
            <w:pPr>
              <w:rPr>
                <w:rFonts w:ascii="Times New Roman" w:hAnsi="Times New Roman" w:cs="Times New Roman"/>
                <w:sz w:val="20"/>
              </w:rPr>
            </w:pPr>
            <w:r w:rsidRPr="00A837B8">
              <w:rPr>
                <w:rFonts w:ascii="Times New Roman" w:hAnsi="Times New Roman" w:cs="Times New Roman"/>
                <w:color w:val="000000"/>
                <w:sz w:val="20"/>
              </w:rPr>
              <w:t>0.767891</w:t>
            </w:r>
          </w:p>
        </w:tc>
        <w:tc>
          <w:tcPr>
            <w:tcW w:w="1188" w:type="dxa"/>
            <w:tcBorders>
              <w:top w:val="nil"/>
              <w:left w:val="nil"/>
              <w:bottom w:val="single" w:sz="4" w:space="0" w:color="auto"/>
              <w:right w:val="single" w:sz="4" w:space="0" w:color="auto"/>
            </w:tcBorders>
            <w:shd w:val="clear" w:color="auto" w:fill="auto"/>
            <w:noWrap/>
            <w:vAlign w:val="bottom"/>
          </w:tcPr>
          <w:p w:rsidR="00645F7E" w:rsidRPr="00A837B8" w:rsidRDefault="00645F7E" w:rsidP="00645F7E">
            <w:pPr>
              <w:rPr>
                <w:rFonts w:ascii="Times New Roman" w:hAnsi="Times New Roman" w:cs="Times New Roman"/>
                <w:sz w:val="20"/>
              </w:rPr>
            </w:pPr>
            <w:r w:rsidRPr="00A837B8">
              <w:rPr>
                <w:rFonts w:ascii="Times New Roman" w:hAnsi="Times New Roman" w:cs="Times New Roman"/>
                <w:color w:val="000000"/>
                <w:sz w:val="20"/>
              </w:rPr>
              <w:t>(0.0192)**</w:t>
            </w:r>
          </w:p>
        </w:tc>
        <w:tc>
          <w:tcPr>
            <w:tcW w:w="1577" w:type="dxa"/>
            <w:tcBorders>
              <w:top w:val="nil"/>
              <w:left w:val="nil"/>
              <w:bottom w:val="single" w:sz="4" w:space="0" w:color="auto"/>
              <w:right w:val="single" w:sz="4" w:space="0" w:color="auto"/>
            </w:tcBorders>
            <w:shd w:val="clear" w:color="auto" w:fill="auto"/>
            <w:noWrap/>
            <w:vAlign w:val="bottom"/>
          </w:tcPr>
          <w:p w:rsidR="00645F7E" w:rsidRPr="00A837B8" w:rsidRDefault="00645F7E" w:rsidP="00645F7E">
            <w:pPr>
              <w:jc w:val="center"/>
              <w:rPr>
                <w:rFonts w:ascii="Times New Roman" w:hAnsi="Times New Roman" w:cs="Times New Roman"/>
                <w:sz w:val="20"/>
              </w:rPr>
            </w:pPr>
            <w:r w:rsidRPr="00A837B8">
              <w:rPr>
                <w:rFonts w:ascii="Times New Roman" w:hAnsi="Times New Roman" w:cs="Times New Roman"/>
                <w:color w:val="000000"/>
                <w:sz w:val="20"/>
              </w:rPr>
              <w:t>22174</w:t>
            </w:r>
          </w:p>
        </w:tc>
        <w:tc>
          <w:tcPr>
            <w:tcW w:w="1267" w:type="dxa"/>
            <w:tcBorders>
              <w:top w:val="nil"/>
              <w:left w:val="nil"/>
              <w:bottom w:val="single" w:sz="4" w:space="0" w:color="auto"/>
              <w:right w:val="single" w:sz="4" w:space="0" w:color="auto"/>
            </w:tcBorders>
            <w:shd w:val="clear" w:color="auto" w:fill="auto"/>
            <w:noWrap/>
            <w:vAlign w:val="bottom"/>
          </w:tcPr>
          <w:p w:rsidR="00645F7E" w:rsidRPr="00A837B8" w:rsidRDefault="00645F7E" w:rsidP="00645F7E">
            <w:pPr>
              <w:jc w:val="center"/>
              <w:rPr>
                <w:rFonts w:ascii="Times New Roman" w:hAnsi="Times New Roman" w:cs="Times New Roman"/>
                <w:sz w:val="20"/>
              </w:rPr>
            </w:pPr>
            <w:r w:rsidRPr="00A837B8">
              <w:rPr>
                <w:rFonts w:ascii="Times New Roman" w:hAnsi="Times New Roman" w:cs="Times New Roman"/>
                <w:color w:val="000000"/>
                <w:sz w:val="20"/>
              </w:rPr>
              <w:t>0.0671</w:t>
            </w:r>
          </w:p>
        </w:tc>
      </w:tr>
    </w:tbl>
    <w:p w:rsidR="00321E0C" w:rsidRPr="002E4081" w:rsidRDefault="00321E0C" w:rsidP="00321E0C">
      <w:pPr>
        <w:spacing w:after="0"/>
        <w:rPr>
          <w:rFonts w:ascii="Times New Roman" w:hAnsi="Times New Roman" w:cs="Times New Roman"/>
          <w:sz w:val="18"/>
          <w:szCs w:val="24"/>
        </w:rPr>
      </w:pPr>
      <w:r w:rsidRPr="002E4081">
        <w:rPr>
          <w:rFonts w:ascii="Times New Roman" w:hAnsi="Times New Roman" w:cs="Times New Roman"/>
          <w:sz w:val="18"/>
          <w:szCs w:val="24"/>
        </w:rPr>
        <w:t>Portfolio_FL=Stocks with Futures listed on them</w:t>
      </w:r>
    </w:p>
    <w:p w:rsidR="00874ED2" w:rsidRPr="00321E0C" w:rsidRDefault="00321E0C" w:rsidP="00321E0C">
      <w:pPr>
        <w:spacing w:after="0"/>
        <w:rPr>
          <w:rFonts w:ascii="Times New Roman" w:hAnsi="Times New Roman" w:cs="Times New Roman"/>
          <w:sz w:val="18"/>
          <w:szCs w:val="24"/>
        </w:rPr>
      </w:pPr>
      <w:r w:rsidRPr="002E4081">
        <w:rPr>
          <w:rFonts w:ascii="Times New Roman" w:hAnsi="Times New Roman" w:cs="Times New Roman"/>
          <w:sz w:val="18"/>
          <w:szCs w:val="24"/>
        </w:rPr>
        <w:t>Portfolio_NFL= Stocks</w:t>
      </w:r>
      <w:r>
        <w:rPr>
          <w:rFonts w:ascii="Times New Roman" w:hAnsi="Times New Roman" w:cs="Times New Roman"/>
          <w:sz w:val="18"/>
          <w:szCs w:val="24"/>
        </w:rPr>
        <w:t xml:space="preserve"> with no futures listed on them</w:t>
      </w:r>
    </w:p>
    <w:p w:rsidR="00874ED2" w:rsidRDefault="00874ED2" w:rsidP="008D3818">
      <w:pPr>
        <w:spacing w:after="0" w:line="360" w:lineRule="auto"/>
        <w:rPr>
          <w:rFonts w:ascii="Times New Roman" w:hAnsi="Times New Roman" w:cs="Times New Roman"/>
          <w:b/>
          <w:sz w:val="24"/>
        </w:rPr>
      </w:pPr>
    </w:p>
    <w:p w:rsidR="00D97DB7" w:rsidRPr="00D97DB7" w:rsidRDefault="00A035E2" w:rsidP="008D3818">
      <w:pPr>
        <w:spacing w:after="0" w:line="360" w:lineRule="auto"/>
        <w:rPr>
          <w:rFonts w:ascii="Times New Roman" w:hAnsi="Times New Roman" w:cs="Times New Roman"/>
          <w:b/>
          <w:sz w:val="24"/>
        </w:rPr>
      </w:pPr>
      <w:r>
        <w:rPr>
          <w:rFonts w:ascii="Times New Roman" w:hAnsi="Times New Roman" w:cs="Times New Roman"/>
          <w:b/>
          <w:sz w:val="24"/>
        </w:rPr>
        <w:t>Table 15</w:t>
      </w:r>
      <w:r w:rsidR="00D97DB7" w:rsidRPr="00D97DB7">
        <w:rPr>
          <w:rFonts w:ascii="Times New Roman" w:hAnsi="Times New Roman" w:cs="Times New Roman"/>
          <w:b/>
          <w:sz w:val="24"/>
        </w:rPr>
        <w:t xml:space="preserve">: </w:t>
      </w:r>
      <w:r w:rsidR="00D97DB7">
        <w:rPr>
          <w:rFonts w:ascii="Times New Roman" w:hAnsi="Times New Roman" w:cs="Times New Roman"/>
          <w:b/>
          <w:sz w:val="24"/>
        </w:rPr>
        <w:t>Factor Model for Major Sectors</w:t>
      </w:r>
    </w:p>
    <w:tbl>
      <w:tblPr>
        <w:tblpPr w:leftFromText="180" w:rightFromText="180" w:vertAnchor="text" w:horzAnchor="margin" w:tblpXSpec="center" w:tblpY="505"/>
        <w:tblW w:w="12116" w:type="dxa"/>
        <w:tblLook w:val="04A0"/>
      </w:tblPr>
      <w:tblGrid>
        <w:gridCol w:w="2027"/>
        <w:gridCol w:w="1096"/>
        <w:gridCol w:w="1100"/>
        <w:gridCol w:w="17"/>
        <w:gridCol w:w="953"/>
        <w:gridCol w:w="1100"/>
        <w:gridCol w:w="18"/>
        <w:gridCol w:w="952"/>
        <w:gridCol w:w="1100"/>
        <w:gridCol w:w="19"/>
        <w:gridCol w:w="951"/>
        <w:gridCol w:w="1100"/>
        <w:gridCol w:w="20"/>
        <w:gridCol w:w="883"/>
        <w:gridCol w:w="20"/>
        <w:gridCol w:w="881"/>
        <w:gridCol w:w="25"/>
      </w:tblGrid>
      <w:tr w:rsidR="004C2CFF" w:rsidRPr="00FB1819" w:rsidTr="003F0FC7">
        <w:trPr>
          <w:trHeight w:val="348"/>
        </w:trPr>
        <w:tc>
          <w:tcPr>
            <w:tcW w:w="19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7DB7" w:rsidRPr="00FB1819" w:rsidRDefault="00D97DB7" w:rsidP="00646395">
            <w:pPr>
              <w:spacing w:after="0" w:line="240" w:lineRule="auto"/>
              <w:jc w:val="center"/>
              <w:rPr>
                <w:rFonts w:ascii="Times New Roman" w:eastAsia="Times New Roman" w:hAnsi="Times New Roman" w:cs="Times New Roman"/>
                <w:b/>
                <w:bCs/>
                <w:color w:val="000000"/>
                <w:sz w:val="20"/>
                <w:szCs w:val="20"/>
              </w:rPr>
            </w:pPr>
            <w:r w:rsidRPr="00FB1819">
              <w:rPr>
                <w:rFonts w:ascii="Times New Roman" w:eastAsia="Times New Roman" w:hAnsi="Times New Roman" w:cs="Times New Roman"/>
                <w:b/>
                <w:bCs/>
                <w:color w:val="000000"/>
                <w:sz w:val="20"/>
                <w:szCs w:val="20"/>
              </w:rPr>
              <w:t>Period</w:t>
            </w:r>
          </w:p>
        </w:tc>
        <w:tc>
          <w:tcPr>
            <w:tcW w:w="2191" w:type="dxa"/>
            <w:gridSpan w:val="3"/>
            <w:tcBorders>
              <w:top w:val="single" w:sz="4" w:space="0" w:color="auto"/>
              <w:left w:val="nil"/>
              <w:bottom w:val="single" w:sz="4" w:space="0" w:color="auto"/>
              <w:right w:val="single" w:sz="4" w:space="0" w:color="000000"/>
            </w:tcBorders>
            <w:shd w:val="clear" w:color="auto" w:fill="auto"/>
            <w:noWrap/>
            <w:vAlign w:val="center"/>
            <w:hideMark/>
          </w:tcPr>
          <w:p w:rsidR="00D97DB7" w:rsidRPr="00FB1819" w:rsidRDefault="00D97DB7" w:rsidP="00646395">
            <w:pPr>
              <w:spacing w:after="0" w:line="240" w:lineRule="auto"/>
              <w:jc w:val="center"/>
              <w:rPr>
                <w:rFonts w:ascii="Times New Roman" w:eastAsia="Times New Roman" w:hAnsi="Times New Roman" w:cs="Times New Roman"/>
                <w:b/>
                <w:bCs/>
                <w:color w:val="000000"/>
                <w:sz w:val="20"/>
                <w:szCs w:val="20"/>
              </w:rPr>
            </w:pPr>
            <w:r w:rsidRPr="00FB1819">
              <w:rPr>
                <w:rFonts w:ascii="Times New Roman" w:eastAsia="Times New Roman" w:hAnsi="Times New Roman" w:cs="Times New Roman"/>
                <w:b/>
                <w:bCs/>
                <w:color w:val="000000"/>
                <w:sz w:val="20"/>
                <w:szCs w:val="20"/>
              </w:rPr>
              <w:t>α</w:t>
            </w:r>
            <w:r w:rsidRPr="00FB1819">
              <w:rPr>
                <w:rFonts w:ascii="Times New Roman" w:eastAsia="Times New Roman" w:hAnsi="Times New Roman" w:cs="Times New Roman"/>
                <w:b/>
                <w:bCs/>
                <w:color w:val="000000"/>
                <w:sz w:val="20"/>
                <w:szCs w:val="20"/>
                <w:vertAlign w:val="subscript"/>
              </w:rPr>
              <w:t>i</w:t>
            </w:r>
          </w:p>
        </w:tc>
        <w:tc>
          <w:tcPr>
            <w:tcW w:w="2049" w:type="dxa"/>
            <w:gridSpan w:val="3"/>
            <w:tcBorders>
              <w:top w:val="single" w:sz="4" w:space="0" w:color="auto"/>
              <w:left w:val="nil"/>
              <w:bottom w:val="single" w:sz="4" w:space="0" w:color="auto"/>
              <w:right w:val="single" w:sz="4" w:space="0" w:color="000000"/>
            </w:tcBorders>
            <w:shd w:val="clear" w:color="auto" w:fill="auto"/>
            <w:noWrap/>
            <w:vAlign w:val="center"/>
            <w:hideMark/>
          </w:tcPr>
          <w:p w:rsidR="00D97DB7" w:rsidRPr="00FB1819" w:rsidRDefault="00D97DB7" w:rsidP="00646395">
            <w:pPr>
              <w:spacing w:after="0" w:line="240" w:lineRule="auto"/>
              <w:jc w:val="center"/>
              <w:rPr>
                <w:rFonts w:ascii="Times New Roman" w:eastAsia="Times New Roman" w:hAnsi="Times New Roman" w:cs="Times New Roman"/>
                <w:b/>
                <w:bCs/>
                <w:color w:val="000000"/>
                <w:sz w:val="20"/>
                <w:szCs w:val="20"/>
              </w:rPr>
            </w:pPr>
            <w:r w:rsidRPr="00FB1819">
              <w:rPr>
                <w:rFonts w:ascii="Times New Roman" w:eastAsia="Times New Roman" w:hAnsi="Times New Roman" w:cs="Times New Roman"/>
                <w:b/>
                <w:bCs/>
                <w:color w:val="000000"/>
                <w:sz w:val="20"/>
                <w:szCs w:val="20"/>
              </w:rPr>
              <w:t>β</w:t>
            </w:r>
            <w:r w:rsidRPr="00FB1819">
              <w:rPr>
                <w:rFonts w:ascii="Times New Roman" w:eastAsia="Times New Roman" w:hAnsi="Times New Roman" w:cs="Times New Roman"/>
                <w:b/>
                <w:bCs/>
                <w:color w:val="000000"/>
                <w:sz w:val="20"/>
                <w:szCs w:val="20"/>
                <w:vertAlign w:val="subscript"/>
              </w:rPr>
              <w:t>i</w:t>
            </w:r>
          </w:p>
        </w:tc>
        <w:tc>
          <w:tcPr>
            <w:tcW w:w="2049" w:type="dxa"/>
            <w:gridSpan w:val="3"/>
            <w:tcBorders>
              <w:top w:val="single" w:sz="4" w:space="0" w:color="auto"/>
              <w:left w:val="nil"/>
              <w:bottom w:val="single" w:sz="4" w:space="0" w:color="auto"/>
              <w:right w:val="single" w:sz="4" w:space="0" w:color="000000"/>
            </w:tcBorders>
            <w:shd w:val="clear" w:color="auto" w:fill="auto"/>
            <w:noWrap/>
            <w:vAlign w:val="center"/>
            <w:hideMark/>
          </w:tcPr>
          <w:p w:rsidR="00D97DB7" w:rsidRPr="00FB1819" w:rsidRDefault="00D97DB7" w:rsidP="00646395">
            <w:pPr>
              <w:spacing w:after="0" w:line="240" w:lineRule="auto"/>
              <w:jc w:val="center"/>
              <w:rPr>
                <w:rFonts w:ascii="Times New Roman" w:eastAsia="Times New Roman" w:hAnsi="Times New Roman" w:cs="Times New Roman"/>
                <w:b/>
                <w:bCs/>
                <w:color w:val="000000"/>
                <w:sz w:val="20"/>
                <w:szCs w:val="20"/>
              </w:rPr>
            </w:pPr>
            <w:r w:rsidRPr="00FB1819">
              <w:rPr>
                <w:rFonts w:ascii="Times New Roman" w:eastAsia="Times New Roman" w:hAnsi="Times New Roman" w:cs="Times New Roman"/>
                <w:b/>
                <w:bCs/>
                <w:color w:val="000000"/>
                <w:sz w:val="20"/>
                <w:szCs w:val="20"/>
              </w:rPr>
              <w:t>β</w:t>
            </w:r>
            <w:r w:rsidRPr="00FB1819">
              <w:rPr>
                <w:rFonts w:ascii="Times New Roman" w:eastAsia="Times New Roman" w:hAnsi="Times New Roman" w:cs="Times New Roman"/>
                <w:b/>
                <w:bCs/>
                <w:color w:val="000000"/>
                <w:sz w:val="20"/>
                <w:szCs w:val="20"/>
                <w:vertAlign w:val="subscript"/>
              </w:rPr>
              <w:t>is</w:t>
            </w:r>
          </w:p>
        </w:tc>
        <w:tc>
          <w:tcPr>
            <w:tcW w:w="2049" w:type="dxa"/>
            <w:gridSpan w:val="3"/>
            <w:tcBorders>
              <w:top w:val="single" w:sz="4" w:space="0" w:color="auto"/>
              <w:left w:val="nil"/>
              <w:bottom w:val="single" w:sz="4" w:space="0" w:color="auto"/>
              <w:right w:val="single" w:sz="4" w:space="0" w:color="000000"/>
            </w:tcBorders>
            <w:shd w:val="clear" w:color="auto" w:fill="auto"/>
            <w:noWrap/>
            <w:vAlign w:val="center"/>
            <w:hideMark/>
          </w:tcPr>
          <w:p w:rsidR="00D97DB7" w:rsidRPr="00FB1819" w:rsidRDefault="00D97DB7" w:rsidP="00646395">
            <w:pPr>
              <w:spacing w:after="0" w:line="240" w:lineRule="auto"/>
              <w:jc w:val="center"/>
              <w:rPr>
                <w:rFonts w:ascii="Times New Roman" w:eastAsia="Times New Roman" w:hAnsi="Times New Roman" w:cs="Times New Roman"/>
                <w:b/>
                <w:bCs/>
                <w:color w:val="000000"/>
                <w:sz w:val="20"/>
                <w:szCs w:val="20"/>
              </w:rPr>
            </w:pPr>
            <w:r w:rsidRPr="00FB1819">
              <w:rPr>
                <w:rFonts w:ascii="Times New Roman" w:eastAsia="Times New Roman" w:hAnsi="Times New Roman" w:cs="Times New Roman"/>
                <w:b/>
                <w:bCs/>
                <w:color w:val="000000"/>
                <w:sz w:val="20"/>
                <w:szCs w:val="20"/>
              </w:rPr>
              <w:t>β</w:t>
            </w:r>
            <w:r>
              <w:rPr>
                <w:rFonts w:ascii="Times New Roman" w:eastAsia="Times New Roman" w:hAnsi="Times New Roman" w:cs="Times New Roman"/>
                <w:b/>
                <w:bCs/>
                <w:color w:val="000000"/>
                <w:sz w:val="20"/>
                <w:szCs w:val="20"/>
                <w:vertAlign w:val="subscript"/>
              </w:rPr>
              <w:t>ih</w:t>
            </w:r>
          </w:p>
        </w:tc>
        <w:tc>
          <w:tcPr>
            <w:tcW w:w="903" w:type="dxa"/>
            <w:gridSpan w:val="2"/>
            <w:tcBorders>
              <w:top w:val="single" w:sz="4" w:space="0" w:color="auto"/>
              <w:left w:val="nil"/>
              <w:bottom w:val="single" w:sz="4" w:space="0" w:color="auto"/>
              <w:right w:val="single" w:sz="4" w:space="0" w:color="auto"/>
            </w:tcBorders>
            <w:shd w:val="clear" w:color="auto" w:fill="auto"/>
            <w:vAlign w:val="bottom"/>
            <w:hideMark/>
          </w:tcPr>
          <w:p w:rsidR="00191CF4" w:rsidRDefault="00D97DB7" w:rsidP="00646395">
            <w:pPr>
              <w:spacing w:after="0" w:line="240" w:lineRule="auto"/>
              <w:rPr>
                <w:rFonts w:ascii="Times New Roman" w:eastAsia="Times New Roman" w:hAnsi="Times New Roman" w:cs="Times New Roman"/>
                <w:b/>
                <w:bCs/>
                <w:color w:val="000000"/>
                <w:sz w:val="20"/>
                <w:szCs w:val="20"/>
              </w:rPr>
            </w:pPr>
            <w:r w:rsidRPr="00FB1819">
              <w:rPr>
                <w:rFonts w:ascii="Times New Roman" w:eastAsia="Times New Roman" w:hAnsi="Times New Roman" w:cs="Times New Roman"/>
                <w:b/>
                <w:bCs/>
                <w:color w:val="000000"/>
                <w:sz w:val="20"/>
                <w:szCs w:val="20"/>
              </w:rPr>
              <w:t>Observ</w:t>
            </w:r>
            <w:r w:rsidR="00191CF4">
              <w:rPr>
                <w:rFonts w:ascii="Times New Roman" w:eastAsia="Times New Roman" w:hAnsi="Times New Roman" w:cs="Times New Roman"/>
                <w:b/>
                <w:bCs/>
                <w:color w:val="000000"/>
                <w:sz w:val="20"/>
                <w:szCs w:val="20"/>
              </w:rPr>
              <w:t>-</w:t>
            </w:r>
          </w:p>
          <w:p w:rsidR="00D97DB7" w:rsidRPr="00FB1819" w:rsidRDefault="00D97DB7" w:rsidP="00646395">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w:t>
            </w:r>
            <w:r w:rsidRPr="00FB1819">
              <w:rPr>
                <w:rFonts w:ascii="Times New Roman" w:eastAsia="Times New Roman" w:hAnsi="Times New Roman" w:cs="Times New Roman"/>
                <w:b/>
                <w:bCs/>
                <w:color w:val="000000"/>
                <w:sz w:val="20"/>
                <w:szCs w:val="20"/>
              </w:rPr>
              <w:t>tions</w:t>
            </w:r>
          </w:p>
        </w:tc>
        <w:tc>
          <w:tcPr>
            <w:tcW w:w="888" w:type="dxa"/>
            <w:gridSpan w:val="2"/>
            <w:tcBorders>
              <w:top w:val="single" w:sz="4" w:space="0" w:color="auto"/>
              <w:left w:val="nil"/>
              <w:bottom w:val="single" w:sz="4" w:space="0" w:color="auto"/>
              <w:right w:val="single" w:sz="4" w:space="0" w:color="auto"/>
            </w:tcBorders>
            <w:shd w:val="clear" w:color="auto" w:fill="auto"/>
            <w:vAlign w:val="bottom"/>
            <w:hideMark/>
          </w:tcPr>
          <w:p w:rsidR="00D97DB7" w:rsidRPr="00FB1819" w:rsidRDefault="00D97DB7" w:rsidP="00646395">
            <w:pPr>
              <w:spacing w:after="0" w:line="240" w:lineRule="auto"/>
              <w:rPr>
                <w:rFonts w:ascii="Times New Roman" w:eastAsia="Times New Roman" w:hAnsi="Times New Roman" w:cs="Times New Roman"/>
                <w:b/>
                <w:bCs/>
                <w:color w:val="000000"/>
                <w:sz w:val="20"/>
                <w:szCs w:val="20"/>
              </w:rPr>
            </w:pPr>
            <w:r w:rsidRPr="00FB1819">
              <w:rPr>
                <w:rFonts w:ascii="Times New Roman" w:eastAsia="Times New Roman" w:hAnsi="Times New Roman" w:cs="Times New Roman"/>
                <w:b/>
                <w:bCs/>
                <w:color w:val="000000"/>
                <w:sz w:val="20"/>
                <w:szCs w:val="20"/>
              </w:rPr>
              <w:t>R-squared</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13H1</w:t>
            </w:r>
            <w:r w:rsidRPr="003A0F6F">
              <w:rPr>
                <w:rFonts w:ascii="Times New Roman" w:eastAsia="Times New Roman" w:hAnsi="Times New Roman" w:cs="Times New Roman"/>
                <w:b/>
                <w:bCs/>
                <w:color w:val="000000"/>
                <w:sz w:val="20"/>
                <w:szCs w:val="20"/>
              </w:rPr>
              <w:t>_Portfolio_FL</w:t>
            </w:r>
          </w:p>
        </w:tc>
        <w:tc>
          <w:tcPr>
            <w:tcW w:w="10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3.227045</w:t>
            </w:r>
          </w:p>
        </w:tc>
        <w:tc>
          <w:tcPr>
            <w:tcW w:w="1078" w:type="dxa"/>
            <w:tcBorders>
              <w:top w:val="single" w:sz="4" w:space="0" w:color="auto"/>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(0.7783)**</w:t>
            </w:r>
          </w:p>
        </w:tc>
        <w:tc>
          <w:tcPr>
            <w:tcW w:w="970" w:type="dxa"/>
            <w:gridSpan w:val="2"/>
            <w:tcBorders>
              <w:top w:val="single" w:sz="4" w:space="0" w:color="auto"/>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1.071864</w:t>
            </w:r>
          </w:p>
        </w:tc>
        <w:tc>
          <w:tcPr>
            <w:tcW w:w="1078" w:type="dxa"/>
            <w:tcBorders>
              <w:top w:val="single" w:sz="4" w:space="0" w:color="auto"/>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(0.0100)**</w:t>
            </w:r>
          </w:p>
        </w:tc>
        <w:tc>
          <w:tcPr>
            <w:tcW w:w="970" w:type="dxa"/>
            <w:gridSpan w:val="2"/>
            <w:tcBorders>
              <w:top w:val="single" w:sz="4" w:space="0" w:color="auto"/>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-0.12707</w:t>
            </w:r>
          </w:p>
        </w:tc>
        <w:tc>
          <w:tcPr>
            <w:tcW w:w="1078" w:type="dxa"/>
            <w:tcBorders>
              <w:top w:val="single" w:sz="4" w:space="0" w:color="auto"/>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(0.0304)**</w:t>
            </w:r>
          </w:p>
        </w:tc>
        <w:tc>
          <w:tcPr>
            <w:tcW w:w="970" w:type="dxa"/>
            <w:gridSpan w:val="2"/>
            <w:tcBorders>
              <w:top w:val="single" w:sz="4" w:space="0" w:color="auto"/>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-0.43104</w:t>
            </w:r>
          </w:p>
        </w:tc>
        <w:tc>
          <w:tcPr>
            <w:tcW w:w="1078" w:type="dxa"/>
            <w:tcBorders>
              <w:top w:val="single" w:sz="4" w:space="0" w:color="auto"/>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(0.0906)**</w:t>
            </w:r>
          </w:p>
        </w:tc>
        <w:tc>
          <w:tcPr>
            <w:tcW w:w="903" w:type="dxa"/>
            <w:gridSpan w:val="2"/>
            <w:tcBorders>
              <w:top w:val="single" w:sz="4" w:space="0" w:color="auto"/>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23490</w:t>
            </w:r>
          </w:p>
        </w:tc>
        <w:tc>
          <w:tcPr>
            <w:tcW w:w="888" w:type="dxa"/>
            <w:gridSpan w:val="2"/>
            <w:tcBorders>
              <w:top w:val="single" w:sz="4" w:space="0" w:color="auto"/>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0.3301</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13H1</w:t>
            </w:r>
            <w:r w:rsidRPr="003A0F6F">
              <w:rPr>
                <w:rFonts w:ascii="Times New Roman" w:eastAsia="Times New Roman" w:hAnsi="Times New Roman" w:cs="Times New Roman"/>
                <w:b/>
                <w:bCs/>
                <w:color w:val="000000"/>
                <w:sz w:val="20"/>
                <w:szCs w:val="20"/>
              </w:rPr>
              <w:t>_Portfolio_NFL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2.805017</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(1.2614)*</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0.881536</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(0.0166)**</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-0.0715</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-0.0516</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-1.06065</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(0.1940)**</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27135</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0.095</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13H2</w:t>
            </w:r>
            <w:r w:rsidRPr="003A0F6F">
              <w:rPr>
                <w:rFonts w:ascii="Times New Roman" w:eastAsia="Times New Roman" w:hAnsi="Times New Roman" w:cs="Times New Roman"/>
                <w:b/>
                <w:bCs/>
                <w:color w:val="000000"/>
                <w:sz w:val="20"/>
                <w:szCs w:val="20"/>
              </w:rPr>
              <w:t>_Portfolio_FL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4.142935</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(0.7853)**</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1.099095</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(0.0100)**</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-0.16452</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(0.0306)**</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-0.37349</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(0.0915)**</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24795</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0.3282</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13H2</w:t>
            </w:r>
            <w:r w:rsidRPr="003A0F6F">
              <w:rPr>
                <w:rFonts w:ascii="Times New Roman" w:eastAsia="Times New Roman" w:hAnsi="Times New Roman" w:cs="Times New Roman"/>
                <w:b/>
                <w:bCs/>
                <w:color w:val="000000"/>
                <w:sz w:val="20"/>
                <w:szCs w:val="20"/>
              </w:rPr>
              <w:t>_Portfolio_NFL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1.607678</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-1.3002</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0.846363</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(0.0171)**</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-0.01926</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-0.0533</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-1.22512</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(0.2025)**</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25830</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0.0871</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14H1</w:t>
            </w:r>
            <w:r w:rsidRPr="003A0F6F">
              <w:rPr>
                <w:rFonts w:ascii="Times New Roman" w:eastAsia="Times New Roman" w:hAnsi="Times New Roman" w:cs="Times New Roman"/>
                <w:b/>
                <w:bCs/>
                <w:color w:val="000000"/>
                <w:sz w:val="20"/>
                <w:szCs w:val="20"/>
              </w:rPr>
              <w:t>_Portfolio_FL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4.848703</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(0.7472)**</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1.127477</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(0.0095)**</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-0.18264</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(0.0293)**</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-0.54437</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(0.0878)**</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28710</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0.3278</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14H1</w:t>
            </w:r>
            <w:r w:rsidRPr="003A0F6F">
              <w:rPr>
                <w:rFonts w:ascii="Times New Roman" w:eastAsia="Times New Roman" w:hAnsi="Times New Roman" w:cs="Times New Roman"/>
                <w:b/>
                <w:bCs/>
                <w:color w:val="000000"/>
                <w:sz w:val="20"/>
                <w:szCs w:val="20"/>
              </w:rPr>
              <w:t>_Portfolio_NFL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1.213212</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-1.4581</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0.763889</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(0.0194)**</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-0.00404</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-0.0598</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-1.35109</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(0.2579)**</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21915</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0.0666</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14H2</w:t>
            </w:r>
            <w:r w:rsidRPr="003A0F6F">
              <w:rPr>
                <w:rFonts w:ascii="Times New Roman" w:eastAsia="Times New Roman" w:hAnsi="Times New Roman" w:cs="Times New Roman"/>
                <w:b/>
                <w:bCs/>
                <w:color w:val="000000"/>
                <w:sz w:val="20"/>
                <w:szCs w:val="20"/>
              </w:rPr>
              <w:t>_Portfolio_FL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4.848703</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(0.7472)**</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1.127477</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(0.0095)**</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-0.18264</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(0.0293)**</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-0.54437</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(0.0878)**</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28710</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0.3278</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14H2</w:t>
            </w:r>
            <w:r w:rsidRPr="003A0F6F">
              <w:rPr>
                <w:rFonts w:ascii="Times New Roman" w:eastAsia="Times New Roman" w:hAnsi="Times New Roman" w:cs="Times New Roman"/>
                <w:b/>
                <w:bCs/>
                <w:color w:val="000000"/>
                <w:sz w:val="20"/>
                <w:szCs w:val="20"/>
              </w:rPr>
              <w:t>_Portfolio_NFL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1.213212</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-1.4581</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0.763889</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(0.0194)**</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-0.00404</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-0.0598</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-1.35109</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(0.2579)**</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21915</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0.0666</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15H1</w:t>
            </w:r>
            <w:r w:rsidRPr="003A0F6F">
              <w:rPr>
                <w:rFonts w:ascii="Times New Roman" w:eastAsia="Times New Roman" w:hAnsi="Times New Roman" w:cs="Times New Roman"/>
                <w:b/>
                <w:bCs/>
                <w:color w:val="000000"/>
                <w:sz w:val="20"/>
                <w:szCs w:val="20"/>
              </w:rPr>
              <w:t>_Portfolio_FL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3.238277</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(0.8483)**</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1.105329</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(0.0101)**</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-0.12021</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(0.0341)**</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-0.5124</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(0.1143)**</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25841</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0.3173</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15H1</w:t>
            </w:r>
            <w:r w:rsidRPr="003A0F6F">
              <w:rPr>
                <w:rFonts w:ascii="Times New Roman" w:eastAsia="Times New Roman" w:hAnsi="Times New Roman" w:cs="Times New Roman"/>
                <w:b/>
                <w:bCs/>
                <w:color w:val="000000"/>
                <w:sz w:val="20"/>
                <w:szCs w:val="20"/>
              </w:rPr>
              <w:t>_Portfolio_NFL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4.208092</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(1.2071)**</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0.827943</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(0.0175)**</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-0.13307</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(0.0482)**</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-0.90849</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(0.1613)**</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24784</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0.0837</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15H2</w:t>
            </w:r>
            <w:r w:rsidRPr="003A0F6F">
              <w:rPr>
                <w:rFonts w:ascii="Times New Roman" w:eastAsia="Times New Roman" w:hAnsi="Times New Roman" w:cs="Times New Roman"/>
                <w:b/>
                <w:bCs/>
                <w:color w:val="000000"/>
                <w:sz w:val="20"/>
                <w:szCs w:val="20"/>
              </w:rPr>
              <w:t>_Portfolio_FL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3.18261</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(0.7638)**</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1.118225</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(0.0099)**</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-0.11463</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(0.0300)**</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-0.63514</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(0.0888)**</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27146</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0.3204</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15H2</w:t>
            </w:r>
            <w:r w:rsidRPr="003A0F6F">
              <w:rPr>
                <w:rFonts w:ascii="Times New Roman" w:eastAsia="Times New Roman" w:hAnsi="Times New Roman" w:cs="Times New Roman"/>
                <w:b/>
                <w:bCs/>
                <w:color w:val="000000"/>
                <w:sz w:val="20"/>
                <w:szCs w:val="20"/>
              </w:rPr>
              <w:t>_Portfolio_NFL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3.654607</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(1.3914)**</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0.798506</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(0.0183)**</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-0.1089</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-0.057</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-0.99158</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(0.2409)**</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23479</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0.0759</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16H1</w:t>
            </w:r>
            <w:r w:rsidRPr="003A0F6F">
              <w:rPr>
                <w:rFonts w:ascii="Times New Roman" w:eastAsia="Times New Roman" w:hAnsi="Times New Roman" w:cs="Times New Roman"/>
                <w:b/>
                <w:bCs/>
                <w:color w:val="000000"/>
                <w:sz w:val="20"/>
                <w:szCs w:val="20"/>
              </w:rPr>
              <w:t>_Portfolio_FL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2.093065</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(0.8370)*</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1.114439</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(0.0106)**</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-0.07574</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(0.0330)*</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-0.54557</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(0.0915)**</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24536</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0.3124</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16H1</w:t>
            </w:r>
            <w:r w:rsidRPr="003A0F6F">
              <w:rPr>
                <w:rFonts w:ascii="Times New Roman" w:eastAsia="Times New Roman" w:hAnsi="Times New Roman" w:cs="Times New Roman"/>
                <w:b/>
                <w:bCs/>
                <w:color w:val="000000"/>
                <w:sz w:val="20"/>
                <w:szCs w:val="20"/>
              </w:rPr>
              <w:t>_Portfolio_NFL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4.107462</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(1.2666)**</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0.834168</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(0.0167)**</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-0.12502</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(0.0519)*</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-1.08546</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(0.2252)**</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26089</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0.0885</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16H2</w:t>
            </w:r>
            <w:r w:rsidRPr="003A0F6F">
              <w:rPr>
                <w:rFonts w:ascii="Times New Roman" w:eastAsia="Times New Roman" w:hAnsi="Times New Roman" w:cs="Times New Roman"/>
                <w:b/>
                <w:bCs/>
                <w:color w:val="000000"/>
                <w:sz w:val="20"/>
                <w:szCs w:val="20"/>
              </w:rPr>
              <w:t>_Portfolio_FL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3.650563</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(0.7412)**</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1.106599</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(0.0098)**</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-0.14091</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(0.0291)**</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-0.47637</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(0.1084)**</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27146</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0.3201</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16H2</w:t>
            </w:r>
            <w:r w:rsidRPr="003A0F6F">
              <w:rPr>
                <w:rFonts w:ascii="Times New Roman" w:eastAsia="Times New Roman" w:hAnsi="Times New Roman" w:cs="Times New Roman"/>
                <w:b/>
                <w:bCs/>
                <w:color w:val="000000"/>
                <w:sz w:val="20"/>
                <w:szCs w:val="20"/>
              </w:rPr>
              <w:t>_Portfolio_NFL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2.159312</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-1.4869</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0.811146</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(0.0183)**</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-0.04534</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-0.0604</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-0.92782</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(0.1678)**</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23479</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0.0775</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17H1</w:t>
            </w:r>
            <w:r w:rsidRPr="003A0F6F">
              <w:rPr>
                <w:rFonts w:ascii="Times New Roman" w:eastAsia="Times New Roman" w:hAnsi="Times New Roman" w:cs="Times New Roman"/>
                <w:b/>
                <w:bCs/>
                <w:color w:val="000000"/>
                <w:sz w:val="20"/>
                <w:szCs w:val="20"/>
              </w:rPr>
              <w:t>_Portfolio_FL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2.935518</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(0.8658)**</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1.10724</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(0.0105)**</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-0.12245</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(0.0338)**</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-0.2304</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(0.1105)*</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21926</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0.3369</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17H1</w:t>
            </w:r>
            <w:r w:rsidRPr="003A0F6F">
              <w:rPr>
                <w:rFonts w:ascii="Times New Roman" w:eastAsia="Times New Roman" w:hAnsi="Times New Roman" w:cs="Times New Roman"/>
                <w:b/>
                <w:bCs/>
                <w:color w:val="000000"/>
                <w:sz w:val="20"/>
                <w:szCs w:val="20"/>
              </w:rPr>
              <w:t>_Portfolio_NFL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2.605173</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(1.2477)*</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0.864912</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(0.0157)**</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-0.06191</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-0.0508</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-1.07375</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(0.1519)**</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28699</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0.0961</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17H2</w:t>
            </w:r>
            <w:r w:rsidRPr="003A0F6F">
              <w:rPr>
                <w:rFonts w:ascii="Times New Roman" w:eastAsia="Times New Roman" w:hAnsi="Times New Roman" w:cs="Times New Roman"/>
                <w:b/>
                <w:bCs/>
                <w:color w:val="000000"/>
                <w:sz w:val="20"/>
                <w:szCs w:val="20"/>
              </w:rPr>
              <w:t>_Portfolio_FL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2.841415</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(0.8651)**</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1.128014</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(0.0112)**</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-0.1218</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(0.0338)**</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-0.22099</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-0.1235</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20621</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0.3316</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FB1819"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17H2</w:t>
            </w:r>
            <w:r w:rsidRPr="003A0F6F">
              <w:rPr>
                <w:rFonts w:ascii="Times New Roman" w:eastAsia="Times New Roman" w:hAnsi="Times New Roman" w:cs="Times New Roman"/>
                <w:b/>
                <w:bCs/>
                <w:color w:val="000000"/>
                <w:sz w:val="20"/>
                <w:szCs w:val="20"/>
              </w:rPr>
              <w:t>_Portfolio_NFL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2.352172</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-1.2065</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0.861609</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(0.0150)**</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-0.05146</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-0.0491</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-1.02903</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(0.1428)**</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30004</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0.0993</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A837B8"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18H1</w:t>
            </w:r>
            <w:r w:rsidRPr="003A0F6F">
              <w:rPr>
                <w:rFonts w:ascii="Times New Roman" w:eastAsia="Times New Roman" w:hAnsi="Times New Roman" w:cs="Times New Roman"/>
                <w:b/>
                <w:bCs/>
                <w:color w:val="000000"/>
                <w:sz w:val="20"/>
                <w:szCs w:val="20"/>
              </w:rPr>
              <w:t>_Portfolio_FL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highlight w:val="yellow"/>
              </w:rPr>
            </w:pPr>
            <w:r w:rsidRPr="00A837B8">
              <w:rPr>
                <w:rFonts w:ascii="Times New Roman" w:hAnsi="Times New Roman" w:cs="Times New Roman"/>
                <w:color w:val="000000"/>
                <w:sz w:val="20"/>
                <w:szCs w:val="20"/>
              </w:rPr>
              <w:t>4.34965</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highlight w:val="yellow"/>
              </w:rPr>
            </w:pPr>
            <w:r w:rsidRPr="00A837B8">
              <w:rPr>
                <w:rFonts w:ascii="Times New Roman" w:hAnsi="Times New Roman" w:cs="Times New Roman"/>
                <w:color w:val="000000"/>
                <w:sz w:val="20"/>
                <w:szCs w:val="20"/>
              </w:rPr>
              <w:t>(0.7061)**</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1.122104</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(0.0096)**</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-0.16716</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(0.0279)**</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-0.40465</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(0.1087)**</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28451</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0.3272</w:t>
            </w:r>
          </w:p>
        </w:tc>
      </w:tr>
      <w:tr w:rsidR="005C6799" w:rsidRPr="00FB1819" w:rsidTr="003F0FC7">
        <w:trPr>
          <w:gridAfter w:val="1"/>
          <w:wAfter w:w="20" w:type="dxa"/>
          <w:trHeight w:val="347"/>
        </w:trPr>
        <w:tc>
          <w:tcPr>
            <w:tcW w:w="1987" w:type="dxa"/>
            <w:tcBorders>
              <w:top w:val="single" w:sz="4" w:space="0" w:color="auto"/>
              <w:left w:val="single" w:sz="4" w:space="0" w:color="auto"/>
              <w:bottom w:val="single" w:sz="4" w:space="0" w:color="auto"/>
            </w:tcBorders>
            <w:noWrap/>
            <w:vAlign w:val="center"/>
            <w:hideMark/>
          </w:tcPr>
          <w:p w:rsidR="003D1A1E" w:rsidRPr="00A837B8" w:rsidRDefault="003D1A1E" w:rsidP="003D1A1E">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18H1</w:t>
            </w:r>
            <w:r w:rsidRPr="003A0F6F">
              <w:rPr>
                <w:rFonts w:ascii="Times New Roman" w:eastAsia="Times New Roman" w:hAnsi="Times New Roman" w:cs="Times New Roman"/>
                <w:b/>
                <w:bCs/>
                <w:color w:val="000000"/>
                <w:sz w:val="20"/>
                <w:szCs w:val="20"/>
              </w:rPr>
              <w:t>_Portfolio_NFL</w:t>
            </w:r>
          </w:p>
        </w:tc>
        <w:tc>
          <w:tcPr>
            <w:tcW w:w="1096" w:type="dxa"/>
            <w:tcBorders>
              <w:top w:val="nil"/>
              <w:left w:val="single" w:sz="4" w:space="0" w:color="auto"/>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highlight w:val="yellow"/>
              </w:rPr>
            </w:pPr>
            <w:r w:rsidRPr="00A837B8">
              <w:rPr>
                <w:rFonts w:ascii="Times New Roman" w:hAnsi="Times New Roman" w:cs="Times New Roman"/>
                <w:color w:val="000000"/>
                <w:sz w:val="20"/>
                <w:szCs w:val="20"/>
              </w:rPr>
              <w:t>2.039449</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highlight w:val="yellow"/>
              </w:rPr>
            </w:pPr>
            <w:r w:rsidRPr="00A837B8">
              <w:rPr>
                <w:rFonts w:ascii="Times New Roman" w:hAnsi="Times New Roman" w:cs="Times New Roman"/>
                <w:color w:val="000000"/>
                <w:sz w:val="20"/>
                <w:szCs w:val="20"/>
              </w:rPr>
              <w:t>-1.5802</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0.773787</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(0.0192)**</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-0.04053</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-0.0641</w:t>
            </w:r>
          </w:p>
        </w:tc>
        <w:tc>
          <w:tcPr>
            <w:tcW w:w="970"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-1.01258</w:t>
            </w:r>
          </w:p>
        </w:tc>
        <w:tc>
          <w:tcPr>
            <w:tcW w:w="1078" w:type="dxa"/>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jc w:val="center"/>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(0.1705)**</w:t>
            </w:r>
          </w:p>
        </w:tc>
        <w:tc>
          <w:tcPr>
            <w:tcW w:w="903"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22174</w:t>
            </w:r>
          </w:p>
        </w:tc>
        <w:tc>
          <w:tcPr>
            <w:tcW w:w="888" w:type="dxa"/>
            <w:gridSpan w:val="2"/>
            <w:tcBorders>
              <w:top w:val="nil"/>
              <w:left w:val="nil"/>
              <w:bottom w:val="single" w:sz="4" w:space="0" w:color="auto"/>
              <w:right w:val="single" w:sz="4" w:space="0" w:color="auto"/>
            </w:tcBorders>
            <w:shd w:val="clear" w:color="auto" w:fill="auto"/>
            <w:noWrap/>
            <w:vAlign w:val="bottom"/>
          </w:tcPr>
          <w:p w:rsidR="003D1A1E" w:rsidRPr="00A837B8" w:rsidRDefault="003D1A1E" w:rsidP="003D1A1E">
            <w:pPr>
              <w:spacing w:after="0" w:line="240" w:lineRule="auto"/>
              <w:rPr>
                <w:rFonts w:ascii="Times New Roman" w:eastAsia="Times New Roman" w:hAnsi="Times New Roman" w:cs="Times New Roman"/>
                <w:color w:val="000000"/>
                <w:sz w:val="20"/>
                <w:szCs w:val="20"/>
              </w:rPr>
            </w:pPr>
            <w:r w:rsidRPr="00A837B8">
              <w:rPr>
                <w:rFonts w:ascii="Times New Roman" w:hAnsi="Times New Roman" w:cs="Times New Roman"/>
                <w:color w:val="000000"/>
                <w:sz w:val="20"/>
                <w:szCs w:val="20"/>
              </w:rPr>
              <w:t>0.0689</w:t>
            </w:r>
          </w:p>
        </w:tc>
      </w:tr>
    </w:tbl>
    <w:p w:rsidR="00337558" w:rsidRDefault="00337558" w:rsidP="008D3818">
      <w:pPr>
        <w:spacing w:after="0" w:line="360" w:lineRule="auto"/>
        <w:rPr>
          <w:rFonts w:ascii="Times New Roman" w:hAnsi="Times New Roman" w:cs="Times New Roman"/>
          <w:sz w:val="24"/>
        </w:rPr>
      </w:pPr>
    </w:p>
    <w:p w:rsidR="00321E0C" w:rsidRPr="002E4081" w:rsidRDefault="00321E0C" w:rsidP="00321E0C">
      <w:pPr>
        <w:spacing w:after="0"/>
        <w:rPr>
          <w:rFonts w:ascii="Times New Roman" w:hAnsi="Times New Roman" w:cs="Times New Roman"/>
          <w:sz w:val="18"/>
          <w:szCs w:val="24"/>
        </w:rPr>
      </w:pPr>
      <w:bookmarkStart w:id="20" w:name="_Toc520219904"/>
      <w:r w:rsidRPr="002E4081">
        <w:rPr>
          <w:rFonts w:ascii="Times New Roman" w:hAnsi="Times New Roman" w:cs="Times New Roman"/>
          <w:sz w:val="18"/>
          <w:szCs w:val="24"/>
        </w:rPr>
        <w:t>Portfolio_FL=Stocks with Futures listed on them</w:t>
      </w:r>
    </w:p>
    <w:p w:rsidR="00FC1242" w:rsidRDefault="00321E0C" w:rsidP="00321E0C">
      <w:pPr>
        <w:spacing w:after="0"/>
        <w:rPr>
          <w:rFonts w:ascii="Times New Roman" w:hAnsi="Times New Roman" w:cs="Times New Roman"/>
          <w:sz w:val="18"/>
          <w:szCs w:val="24"/>
        </w:rPr>
      </w:pPr>
      <w:r w:rsidRPr="002E4081">
        <w:rPr>
          <w:rFonts w:ascii="Times New Roman" w:hAnsi="Times New Roman" w:cs="Times New Roman"/>
          <w:sz w:val="18"/>
          <w:szCs w:val="24"/>
        </w:rPr>
        <w:t>Portfolio_NFL= Stocks</w:t>
      </w:r>
      <w:r>
        <w:rPr>
          <w:rFonts w:ascii="Times New Roman" w:hAnsi="Times New Roman" w:cs="Times New Roman"/>
          <w:sz w:val="18"/>
          <w:szCs w:val="24"/>
        </w:rPr>
        <w:t xml:space="preserve"> with no futures listed on them</w:t>
      </w:r>
    </w:p>
    <w:p w:rsidR="00321E0C" w:rsidRPr="00321E0C" w:rsidRDefault="00321E0C" w:rsidP="00321E0C">
      <w:pPr>
        <w:spacing w:after="0"/>
        <w:rPr>
          <w:rFonts w:ascii="Times New Roman" w:hAnsi="Times New Roman" w:cs="Times New Roman"/>
          <w:sz w:val="18"/>
          <w:szCs w:val="24"/>
        </w:rPr>
      </w:pPr>
    </w:p>
    <w:p w:rsidR="006C361F" w:rsidRPr="006C361F" w:rsidRDefault="00A035E2" w:rsidP="006C361F">
      <w:pPr>
        <w:spacing w:after="0" w:line="480" w:lineRule="auto"/>
        <w:jc w:val="both"/>
        <w:rPr>
          <w:rFonts w:ascii="Times New Roman" w:hAnsi="Times New Roman" w:cs="Times New Roman"/>
          <w:b/>
          <w:sz w:val="24"/>
        </w:rPr>
      </w:pPr>
      <w:r>
        <w:rPr>
          <w:rFonts w:ascii="Times New Roman" w:hAnsi="Times New Roman" w:cs="Times New Roman"/>
          <w:sz w:val="24"/>
        </w:rPr>
        <w:t>The tables 14</w:t>
      </w:r>
      <w:r w:rsidR="006C361F">
        <w:rPr>
          <w:rFonts w:ascii="Times New Roman" w:hAnsi="Times New Roman" w:cs="Times New Roman"/>
          <w:sz w:val="24"/>
        </w:rPr>
        <w:t xml:space="preserve"> and </w:t>
      </w:r>
      <w:r>
        <w:rPr>
          <w:rFonts w:ascii="Times New Roman" w:hAnsi="Times New Roman" w:cs="Times New Roman"/>
          <w:sz w:val="24"/>
        </w:rPr>
        <w:t>15</w:t>
      </w:r>
      <w:r w:rsidR="0086275F">
        <w:rPr>
          <w:rFonts w:ascii="Times New Roman" w:hAnsi="Times New Roman" w:cs="Times New Roman"/>
          <w:sz w:val="24"/>
        </w:rPr>
        <w:t xml:space="preserve"> show</w:t>
      </w:r>
      <w:r w:rsidR="006C361F">
        <w:rPr>
          <w:rFonts w:ascii="Times New Roman" w:hAnsi="Times New Roman" w:cs="Times New Roman"/>
          <w:sz w:val="24"/>
        </w:rPr>
        <w:t xml:space="preserve"> similar results for alpha returns and market risk. However, the results for β</w:t>
      </w:r>
      <w:r w:rsidR="006C361F" w:rsidRPr="0024137C">
        <w:rPr>
          <w:rFonts w:ascii="Times New Roman" w:hAnsi="Times New Roman" w:cs="Times New Roman"/>
          <w:sz w:val="24"/>
          <w:vertAlign w:val="subscript"/>
        </w:rPr>
        <w:t>is</w:t>
      </w:r>
      <w:r w:rsidR="006C361F">
        <w:rPr>
          <w:rFonts w:ascii="Times New Roman" w:hAnsi="Times New Roman" w:cs="Times New Roman"/>
          <w:sz w:val="24"/>
        </w:rPr>
        <w:t xml:space="preserve"> and </w:t>
      </w:r>
      <w:r w:rsidR="006C361F" w:rsidRPr="0024137C">
        <w:rPr>
          <w:rFonts w:ascii="Times New Roman" w:hAnsi="Times New Roman" w:cs="Times New Roman"/>
          <w:sz w:val="24"/>
        </w:rPr>
        <w:t>β</w:t>
      </w:r>
      <w:r w:rsidR="006C361F" w:rsidRPr="0024137C">
        <w:rPr>
          <w:rFonts w:ascii="Times New Roman" w:hAnsi="Times New Roman" w:cs="Times New Roman"/>
          <w:sz w:val="24"/>
          <w:vertAlign w:val="subscript"/>
        </w:rPr>
        <w:t>ih</w:t>
      </w:r>
      <w:r w:rsidR="006C361F">
        <w:rPr>
          <w:rFonts w:ascii="Times New Roman" w:hAnsi="Times New Roman" w:cs="Times New Roman"/>
          <w:sz w:val="24"/>
        </w:rPr>
        <w:t>are slightly different now. The co-efficient of β</w:t>
      </w:r>
      <w:r w:rsidR="006C361F" w:rsidRPr="0024137C">
        <w:rPr>
          <w:rFonts w:ascii="Times New Roman" w:hAnsi="Times New Roman" w:cs="Times New Roman"/>
          <w:sz w:val="24"/>
          <w:vertAlign w:val="subscript"/>
        </w:rPr>
        <w:t>is</w:t>
      </w:r>
      <w:r w:rsidR="006C361F">
        <w:rPr>
          <w:rFonts w:ascii="Times New Roman" w:hAnsi="Times New Roman" w:cs="Times New Roman"/>
          <w:sz w:val="24"/>
        </w:rPr>
        <w:t xml:space="preserve">remained negative for both portfolios throughout. </w:t>
      </w:r>
      <w:r w:rsidR="00FC1242">
        <w:rPr>
          <w:rFonts w:ascii="Times New Roman" w:hAnsi="Times New Roman" w:cs="Times New Roman"/>
          <w:sz w:val="24"/>
        </w:rPr>
        <w:t xml:space="preserve">So, the results are not really different from the previous results even after the addition of the control </w:t>
      </w:r>
      <w:r w:rsidR="00092AF4">
        <w:rPr>
          <w:rFonts w:ascii="Times New Roman" w:hAnsi="Times New Roman" w:cs="Times New Roman"/>
          <w:sz w:val="24"/>
        </w:rPr>
        <w:t xml:space="preserve">for major sectors </w:t>
      </w:r>
      <w:r w:rsidR="00FC1242">
        <w:rPr>
          <w:rFonts w:ascii="Times New Roman" w:hAnsi="Times New Roman" w:cs="Times New Roman"/>
          <w:sz w:val="24"/>
        </w:rPr>
        <w:t>in our model</w:t>
      </w:r>
      <w:r w:rsidR="00092AF4">
        <w:rPr>
          <w:rFonts w:ascii="Times New Roman" w:hAnsi="Times New Roman" w:cs="Times New Roman"/>
          <w:sz w:val="24"/>
        </w:rPr>
        <w:t xml:space="preserve">. </w:t>
      </w:r>
    </w:p>
    <w:p w:rsidR="00646395" w:rsidRDefault="00AB0B6E" w:rsidP="00646395">
      <w:pPr>
        <w:pStyle w:val="Heading6"/>
        <w:rPr>
          <w:rFonts w:ascii="Times New Roman" w:hAnsi="Times New Roman" w:cs="Times New Roman"/>
          <w:b/>
          <w:color w:val="000000" w:themeColor="text1"/>
          <w:sz w:val="24"/>
        </w:rPr>
      </w:pPr>
      <w:r>
        <w:rPr>
          <w:rFonts w:ascii="Times New Roman" w:hAnsi="Times New Roman" w:cs="Times New Roman"/>
          <w:b/>
          <w:color w:val="000000" w:themeColor="text1"/>
          <w:sz w:val="24"/>
        </w:rPr>
        <w:t>4</w:t>
      </w:r>
      <w:r w:rsidR="00245E39" w:rsidRPr="00646395">
        <w:rPr>
          <w:rFonts w:ascii="Times New Roman" w:hAnsi="Times New Roman" w:cs="Times New Roman"/>
          <w:b/>
          <w:color w:val="000000" w:themeColor="text1"/>
          <w:sz w:val="24"/>
        </w:rPr>
        <w:t>.2.4. Volatility</w:t>
      </w:r>
      <w:r w:rsidR="00646395">
        <w:rPr>
          <w:rFonts w:ascii="Times New Roman" w:hAnsi="Times New Roman" w:cs="Times New Roman"/>
          <w:b/>
          <w:color w:val="000000" w:themeColor="text1"/>
          <w:sz w:val="24"/>
        </w:rPr>
        <w:t xml:space="preserve">: </w:t>
      </w:r>
      <w:r w:rsidR="003848B1">
        <w:rPr>
          <w:rFonts w:ascii="Times New Roman" w:hAnsi="Times New Roman" w:cs="Times New Roman"/>
          <w:b/>
          <w:color w:val="000000" w:themeColor="text1"/>
          <w:sz w:val="24"/>
        </w:rPr>
        <w:t>Excess Returns</w:t>
      </w:r>
      <w:bookmarkEnd w:id="20"/>
    </w:p>
    <w:p w:rsidR="00281258" w:rsidRDefault="00FD3B88" w:rsidP="00FD3B88">
      <w:pPr>
        <w:spacing w:before="240" w:line="48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This part </w:t>
      </w:r>
      <w:r w:rsidR="0021251E">
        <w:rPr>
          <w:rFonts w:ascii="Times New Roman" w:hAnsi="Times New Roman" w:cs="Times New Roman"/>
          <w:color w:val="000000" w:themeColor="text1"/>
          <w:sz w:val="24"/>
        </w:rPr>
        <w:t>dem</w:t>
      </w:r>
      <w:r w:rsidR="003A0F6F">
        <w:rPr>
          <w:rFonts w:ascii="Times New Roman" w:hAnsi="Times New Roman" w:cs="Times New Roman"/>
          <w:color w:val="000000" w:themeColor="text1"/>
          <w:sz w:val="24"/>
        </w:rPr>
        <w:t>onstrates the results of</w:t>
      </w:r>
      <w:r w:rsidR="0021251E">
        <w:rPr>
          <w:rFonts w:ascii="Times New Roman" w:hAnsi="Times New Roman" w:cs="Times New Roman"/>
          <w:color w:val="000000" w:themeColor="text1"/>
          <w:sz w:val="24"/>
        </w:rPr>
        <w:t xml:space="preserve"> symmetric</w:t>
      </w:r>
      <w:r w:rsidR="003A0F6F">
        <w:rPr>
          <w:rFonts w:ascii="Times New Roman" w:hAnsi="Times New Roman" w:cs="Times New Roman"/>
          <w:color w:val="000000" w:themeColor="text1"/>
          <w:sz w:val="24"/>
        </w:rPr>
        <w:t xml:space="preserve"> and asymmetricmodel specifications</w:t>
      </w:r>
      <w:r w:rsidR="002E4FD3">
        <w:rPr>
          <w:rFonts w:ascii="Times New Roman" w:hAnsi="Times New Roman" w:cs="Times New Roman"/>
          <w:color w:val="000000" w:themeColor="text1"/>
          <w:sz w:val="24"/>
        </w:rPr>
        <w:t xml:space="preserve">for the volatility estimation in Portfolio_FL and Portfolio_NFL during the 11 periods. </w:t>
      </w:r>
      <w:r w:rsidR="00483866">
        <w:rPr>
          <w:rFonts w:ascii="Times New Roman" w:hAnsi="Times New Roman" w:cs="Times New Roman"/>
          <w:color w:val="000000" w:themeColor="text1"/>
          <w:sz w:val="24"/>
        </w:rPr>
        <w:t>This part comprises of the results for excess returns</w:t>
      </w:r>
      <w:r w:rsidR="00930735">
        <w:rPr>
          <w:rFonts w:ascii="Times New Roman" w:hAnsi="Times New Roman" w:cs="Times New Roman"/>
          <w:color w:val="000000" w:themeColor="text1"/>
          <w:sz w:val="24"/>
        </w:rPr>
        <w:t>.</w:t>
      </w:r>
    </w:p>
    <w:p w:rsidR="00145E2C" w:rsidRDefault="00092AF4" w:rsidP="00FD3B88">
      <w:pPr>
        <w:spacing w:before="240" w:line="48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We also tested the asymmetric volatility but found out the co-efficient to be insignificant throughout the time period. </w:t>
      </w:r>
    </w:p>
    <w:p w:rsidR="003F0FC7" w:rsidRPr="00321E0C" w:rsidRDefault="00BA0209" w:rsidP="00321E0C">
      <w:pPr>
        <w:spacing w:before="240" w:line="480" w:lineRule="auto"/>
        <w:jc w:val="both"/>
        <w:rPr>
          <w:rFonts w:ascii="Times New Roman" w:hAnsi="Times New Roman" w:cs="Times New Roman"/>
          <w:bCs/>
          <w:color w:val="000000" w:themeColor="text1"/>
          <w:sz w:val="24"/>
        </w:rPr>
      </w:pPr>
      <w:r>
        <w:rPr>
          <w:rFonts w:ascii="Times New Roman" w:hAnsi="Times New Roman" w:cs="Times New Roman"/>
          <w:color w:val="000000" w:themeColor="text1"/>
          <w:sz w:val="24"/>
        </w:rPr>
        <w:t xml:space="preserve">We have clubbed the results </w:t>
      </w:r>
      <w:r w:rsidR="009E4343">
        <w:rPr>
          <w:rFonts w:ascii="Times New Roman" w:hAnsi="Times New Roman" w:cs="Times New Roman"/>
          <w:color w:val="000000" w:themeColor="text1"/>
          <w:sz w:val="24"/>
        </w:rPr>
        <w:t xml:space="preserve">of </w:t>
      </w:r>
      <w:r>
        <w:rPr>
          <w:rFonts w:ascii="Times New Roman" w:hAnsi="Times New Roman" w:cs="Times New Roman"/>
          <w:color w:val="000000" w:themeColor="text1"/>
          <w:sz w:val="24"/>
        </w:rPr>
        <w:t>symmetric conditional standard deviation</w:t>
      </w:r>
      <w:r w:rsidR="004B64F2">
        <w:rPr>
          <w:rFonts w:ascii="Times New Roman" w:hAnsi="Times New Roman" w:cs="Times New Roman"/>
          <w:color w:val="000000" w:themeColor="text1"/>
          <w:sz w:val="24"/>
        </w:rPr>
        <w:t xml:space="preserve"> using CAPM and Multiple factor model</w:t>
      </w:r>
      <w:r>
        <w:rPr>
          <w:rFonts w:ascii="Times New Roman" w:hAnsi="Times New Roman" w:cs="Times New Roman"/>
          <w:color w:val="000000" w:themeColor="text1"/>
          <w:sz w:val="24"/>
        </w:rPr>
        <w:t xml:space="preserve"> in Table</w:t>
      </w:r>
      <w:r w:rsidR="00D30885">
        <w:rPr>
          <w:rFonts w:ascii="Times New Roman" w:hAnsi="Times New Roman" w:cs="Times New Roman"/>
          <w:color w:val="000000" w:themeColor="text1"/>
          <w:sz w:val="24"/>
        </w:rPr>
        <w:t xml:space="preserve"> 16</w:t>
      </w:r>
      <w:r>
        <w:rPr>
          <w:rFonts w:ascii="Times New Roman" w:hAnsi="Times New Roman" w:cs="Times New Roman"/>
          <w:color w:val="000000" w:themeColor="text1"/>
          <w:sz w:val="24"/>
        </w:rPr>
        <w:t xml:space="preserve">. </w:t>
      </w:r>
      <w:r w:rsidR="00D54741" w:rsidRPr="00D54741">
        <w:rPr>
          <w:rFonts w:ascii="Times New Roman" w:hAnsi="Times New Roman" w:cs="Times New Roman"/>
          <w:color w:val="000000" w:themeColor="text1"/>
          <w:sz w:val="24"/>
        </w:rPr>
        <w:t xml:space="preserve">The Conditional volatility </w:t>
      </w:r>
      <w:r w:rsidR="00D54741">
        <w:rPr>
          <w:rFonts w:ascii="Times New Roman" w:hAnsi="Times New Roman" w:cs="Times New Roman"/>
          <w:bCs/>
          <w:color w:val="000000" w:themeColor="text1"/>
          <w:sz w:val="24"/>
        </w:rPr>
        <w:t>is defined as the random variable’s volatility giv</w:t>
      </w:r>
      <w:r w:rsidR="005443B2">
        <w:rPr>
          <w:rFonts w:ascii="Times New Roman" w:hAnsi="Times New Roman" w:cs="Times New Roman"/>
          <w:bCs/>
          <w:color w:val="000000" w:themeColor="text1"/>
          <w:sz w:val="24"/>
        </w:rPr>
        <w:t>en one or more other variables</w:t>
      </w:r>
      <w:r w:rsidR="00092AF4">
        <w:rPr>
          <w:rFonts w:ascii="Times New Roman" w:hAnsi="Times New Roman" w:cs="Times New Roman"/>
          <w:bCs/>
          <w:color w:val="000000" w:themeColor="text1"/>
          <w:sz w:val="24"/>
        </w:rPr>
        <w:t>.</w:t>
      </w:r>
    </w:p>
    <w:p w:rsidR="0057146C" w:rsidRPr="0057146C" w:rsidRDefault="00D30885" w:rsidP="0057146C">
      <w:pPr>
        <w:spacing w:after="0" w:line="480" w:lineRule="auto"/>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Table 16</w:t>
      </w:r>
      <w:r w:rsidR="0057146C" w:rsidRPr="0057146C">
        <w:rPr>
          <w:rFonts w:ascii="Times New Roman" w:hAnsi="Times New Roman" w:cs="Times New Roman"/>
          <w:b/>
          <w:color w:val="000000" w:themeColor="text1"/>
          <w:sz w:val="24"/>
        </w:rPr>
        <w:t xml:space="preserve">: Symmetric Conditional </w:t>
      </w:r>
      <w:r w:rsidR="00266168">
        <w:rPr>
          <w:rFonts w:ascii="Times New Roman" w:hAnsi="Times New Roman" w:cs="Times New Roman"/>
          <w:b/>
          <w:color w:val="000000" w:themeColor="text1"/>
          <w:sz w:val="24"/>
        </w:rPr>
        <w:t>Standard Deviation</w:t>
      </w:r>
    </w:p>
    <w:tbl>
      <w:tblPr>
        <w:tblStyle w:val="TableGrid"/>
        <w:tblW w:w="7195" w:type="dxa"/>
        <w:tblLook w:val="04A0"/>
      </w:tblPr>
      <w:tblGrid>
        <w:gridCol w:w="2070"/>
        <w:gridCol w:w="2335"/>
        <w:gridCol w:w="2790"/>
      </w:tblGrid>
      <w:tr w:rsidR="003D1A1E" w:rsidRPr="003D1A1E" w:rsidTr="003D1A1E">
        <w:trPr>
          <w:trHeight w:val="525"/>
        </w:trPr>
        <w:tc>
          <w:tcPr>
            <w:tcW w:w="2070" w:type="dxa"/>
            <w:noWrap/>
          </w:tcPr>
          <w:p w:rsidR="003D1A1E" w:rsidRPr="003D1A1E" w:rsidRDefault="003D1A1E" w:rsidP="003D1A1E">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Periods</w:t>
            </w:r>
          </w:p>
        </w:tc>
        <w:tc>
          <w:tcPr>
            <w:tcW w:w="2335" w:type="dxa"/>
          </w:tcPr>
          <w:p w:rsidR="003D1A1E" w:rsidRPr="003D1A1E" w:rsidRDefault="003D1A1E" w:rsidP="003D1A1E">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Symmetric Volatility using CAPM </w:t>
            </w:r>
          </w:p>
        </w:tc>
        <w:tc>
          <w:tcPr>
            <w:tcW w:w="2790" w:type="dxa"/>
          </w:tcPr>
          <w:p w:rsidR="003D1A1E" w:rsidRPr="003D1A1E" w:rsidRDefault="003D1A1E" w:rsidP="003D1A1E">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Symmetric Volatility using Multiple Factor Model</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13H1</w:t>
            </w:r>
            <w:r w:rsidRPr="003A0F6F">
              <w:rPr>
                <w:rFonts w:ascii="Times New Roman" w:eastAsia="Times New Roman" w:hAnsi="Times New Roman" w:cs="Times New Roman"/>
                <w:b/>
                <w:bCs/>
                <w:color w:val="000000"/>
                <w:sz w:val="20"/>
                <w:szCs w:val="20"/>
              </w:rPr>
              <w:t>_Portfolio_FL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1.235</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1.684</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13H1</w:t>
            </w:r>
            <w:r w:rsidRPr="003A0F6F">
              <w:rPr>
                <w:rFonts w:ascii="Times New Roman" w:eastAsia="Times New Roman" w:hAnsi="Times New Roman" w:cs="Times New Roman"/>
                <w:b/>
                <w:bCs/>
                <w:color w:val="000000"/>
                <w:sz w:val="20"/>
                <w:szCs w:val="20"/>
              </w:rPr>
              <w:t>_Portfolio_NFL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1.666</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1.669</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13H2</w:t>
            </w:r>
            <w:r w:rsidRPr="003A0F6F">
              <w:rPr>
                <w:rFonts w:ascii="Times New Roman" w:eastAsia="Times New Roman" w:hAnsi="Times New Roman" w:cs="Times New Roman"/>
                <w:b/>
                <w:bCs/>
                <w:color w:val="000000"/>
                <w:sz w:val="20"/>
                <w:szCs w:val="20"/>
              </w:rPr>
              <w:t>_Portfolio_FL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1.405</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1.803</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13H2</w:t>
            </w:r>
            <w:r w:rsidRPr="003A0F6F">
              <w:rPr>
                <w:rFonts w:ascii="Times New Roman" w:eastAsia="Times New Roman" w:hAnsi="Times New Roman" w:cs="Times New Roman"/>
                <w:b/>
                <w:bCs/>
                <w:color w:val="000000"/>
                <w:sz w:val="20"/>
                <w:szCs w:val="20"/>
              </w:rPr>
              <w:t>_Portfolio_NFL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1.536</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1.541</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lastRenderedPageBreak/>
              <w:t>14H1</w:t>
            </w:r>
            <w:r w:rsidRPr="003A0F6F">
              <w:rPr>
                <w:rFonts w:ascii="Times New Roman" w:eastAsia="Times New Roman" w:hAnsi="Times New Roman" w:cs="Times New Roman"/>
                <w:b/>
                <w:bCs/>
                <w:color w:val="000000"/>
                <w:sz w:val="20"/>
                <w:szCs w:val="20"/>
              </w:rPr>
              <w:t>_Portfolio_FL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1.441</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1.836</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14H1</w:t>
            </w:r>
            <w:r w:rsidRPr="003A0F6F">
              <w:rPr>
                <w:rFonts w:ascii="Times New Roman" w:eastAsia="Times New Roman" w:hAnsi="Times New Roman" w:cs="Times New Roman"/>
                <w:b/>
                <w:bCs/>
                <w:color w:val="000000"/>
                <w:sz w:val="20"/>
                <w:szCs w:val="20"/>
              </w:rPr>
              <w:t>_Portfolio_NFL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1.607</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1.609</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14H2</w:t>
            </w:r>
            <w:r w:rsidRPr="003A0F6F">
              <w:rPr>
                <w:rFonts w:ascii="Times New Roman" w:eastAsia="Times New Roman" w:hAnsi="Times New Roman" w:cs="Times New Roman"/>
                <w:b/>
                <w:bCs/>
                <w:color w:val="000000"/>
                <w:sz w:val="20"/>
                <w:szCs w:val="20"/>
              </w:rPr>
              <w:t>_Portfolio_FL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1.471</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1.869</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14H2</w:t>
            </w:r>
            <w:r w:rsidRPr="003A0F6F">
              <w:rPr>
                <w:rFonts w:ascii="Times New Roman" w:eastAsia="Times New Roman" w:hAnsi="Times New Roman" w:cs="Times New Roman"/>
                <w:b/>
                <w:bCs/>
                <w:color w:val="000000"/>
                <w:sz w:val="20"/>
                <w:szCs w:val="20"/>
              </w:rPr>
              <w:t>_Portfolio_NFL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1.548</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1.552</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15H1</w:t>
            </w:r>
            <w:r w:rsidRPr="003A0F6F">
              <w:rPr>
                <w:rFonts w:ascii="Times New Roman" w:eastAsia="Times New Roman" w:hAnsi="Times New Roman" w:cs="Times New Roman"/>
                <w:b/>
                <w:bCs/>
                <w:color w:val="000000"/>
                <w:sz w:val="20"/>
                <w:szCs w:val="20"/>
              </w:rPr>
              <w:t>_Portfolio_FL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1.465</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1.863</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15H1</w:t>
            </w:r>
            <w:r w:rsidRPr="003A0F6F">
              <w:rPr>
                <w:rFonts w:ascii="Times New Roman" w:eastAsia="Times New Roman" w:hAnsi="Times New Roman" w:cs="Times New Roman"/>
                <w:b/>
                <w:bCs/>
                <w:color w:val="000000"/>
                <w:sz w:val="20"/>
                <w:szCs w:val="20"/>
              </w:rPr>
              <w:t>_Portfolio_NFL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1.542</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1.406</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15H2</w:t>
            </w:r>
            <w:r w:rsidRPr="003A0F6F">
              <w:rPr>
                <w:rFonts w:ascii="Times New Roman" w:eastAsia="Times New Roman" w:hAnsi="Times New Roman" w:cs="Times New Roman"/>
                <w:b/>
                <w:bCs/>
                <w:color w:val="000000"/>
                <w:sz w:val="20"/>
                <w:szCs w:val="20"/>
              </w:rPr>
              <w:t>_Portfolio_FL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1.410</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1.983</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15H2</w:t>
            </w:r>
            <w:r w:rsidRPr="003A0F6F">
              <w:rPr>
                <w:rFonts w:ascii="Times New Roman" w:eastAsia="Times New Roman" w:hAnsi="Times New Roman" w:cs="Times New Roman"/>
                <w:b/>
                <w:bCs/>
                <w:color w:val="000000"/>
                <w:sz w:val="20"/>
                <w:szCs w:val="20"/>
              </w:rPr>
              <w:t>_Portfolio_NFL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1.580</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1.644</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16H1</w:t>
            </w:r>
            <w:r w:rsidRPr="003A0F6F">
              <w:rPr>
                <w:rFonts w:ascii="Times New Roman" w:eastAsia="Times New Roman" w:hAnsi="Times New Roman" w:cs="Times New Roman"/>
                <w:b/>
                <w:bCs/>
                <w:color w:val="000000"/>
                <w:sz w:val="20"/>
                <w:szCs w:val="20"/>
              </w:rPr>
              <w:t>_Portfolio_FL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1.644</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1.839</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16H1</w:t>
            </w:r>
            <w:r w:rsidRPr="003A0F6F">
              <w:rPr>
                <w:rFonts w:ascii="Times New Roman" w:eastAsia="Times New Roman" w:hAnsi="Times New Roman" w:cs="Times New Roman"/>
                <w:b/>
                <w:bCs/>
                <w:color w:val="000000"/>
                <w:sz w:val="20"/>
                <w:szCs w:val="20"/>
              </w:rPr>
              <w:t>_Portfolio_NFL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1.428</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1.362</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16H2</w:t>
            </w:r>
            <w:r w:rsidRPr="003A0F6F">
              <w:rPr>
                <w:rFonts w:ascii="Times New Roman" w:eastAsia="Times New Roman" w:hAnsi="Times New Roman" w:cs="Times New Roman"/>
                <w:b/>
                <w:bCs/>
                <w:color w:val="000000"/>
                <w:sz w:val="20"/>
                <w:szCs w:val="20"/>
              </w:rPr>
              <w:t>_Portfolio_FL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1.325</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2.040</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16H2</w:t>
            </w:r>
            <w:r w:rsidRPr="003A0F6F">
              <w:rPr>
                <w:rFonts w:ascii="Times New Roman" w:eastAsia="Times New Roman" w:hAnsi="Times New Roman" w:cs="Times New Roman"/>
                <w:b/>
                <w:bCs/>
                <w:color w:val="000000"/>
                <w:sz w:val="20"/>
                <w:szCs w:val="20"/>
              </w:rPr>
              <w:t>_Portfolio_NFL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1.637</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1.631</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17H1</w:t>
            </w:r>
            <w:r w:rsidRPr="003A0F6F">
              <w:rPr>
                <w:rFonts w:ascii="Times New Roman" w:eastAsia="Times New Roman" w:hAnsi="Times New Roman" w:cs="Times New Roman"/>
                <w:b/>
                <w:bCs/>
                <w:color w:val="000000"/>
                <w:sz w:val="20"/>
                <w:szCs w:val="20"/>
              </w:rPr>
              <w:t>_Portfolio_FL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1.634</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1.877</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17H1</w:t>
            </w:r>
            <w:r w:rsidRPr="003A0F6F">
              <w:rPr>
                <w:rFonts w:ascii="Times New Roman" w:eastAsia="Times New Roman" w:hAnsi="Times New Roman" w:cs="Times New Roman"/>
                <w:b/>
                <w:bCs/>
                <w:color w:val="000000"/>
                <w:sz w:val="20"/>
                <w:szCs w:val="20"/>
              </w:rPr>
              <w:t>_Portfolio_NFL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1.475</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1.531</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17H2</w:t>
            </w:r>
            <w:r w:rsidRPr="003A0F6F">
              <w:rPr>
                <w:rFonts w:ascii="Times New Roman" w:eastAsia="Times New Roman" w:hAnsi="Times New Roman" w:cs="Times New Roman"/>
                <w:b/>
                <w:bCs/>
                <w:color w:val="000000"/>
                <w:sz w:val="20"/>
                <w:szCs w:val="20"/>
              </w:rPr>
              <w:t>_Portfolio_FL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1.530</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1.890</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17H2</w:t>
            </w:r>
            <w:r w:rsidRPr="003A0F6F">
              <w:rPr>
                <w:rFonts w:ascii="Times New Roman" w:eastAsia="Times New Roman" w:hAnsi="Times New Roman" w:cs="Times New Roman"/>
                <w:b/>
                <w:bCs/>
                <w:color w:val="000000"/>
                <w:sz w:val="20"/>
                <w:szCs w:val="20"/>
              </w:rPr>
              <w:t>_Portfolio_NFL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1.487</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1.397</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18H1</w:t>
            </w:r>
            <w:r w:rsidRPr="003A0F6F">
              <w:rPr>
                <w:rFonts w:ascii="Times New Roman" w:eastAsia="Times New Roman" w:hAnsi="Times New Roman" w:cs="Times New Roman"/>
                <w:b/>
                <w:bCs/>
                <w:color w:val="000000"/>
                <w:sz w:val="20"/>
                <w:szCs w:val="20"/>
              </w:rPr>
              <w:t>_Portfolio_FL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1.396</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1.988</w:t>
            </w:r>
          </w:p>
        </w:tc>
      </w:tr>
      <w:tr w:rsidR="003D1A1E" w:rsidRPr="003D1A1E" w:rsidTr="003D1A1E">
        <w:trPr>
          <w:trHeight w:val="300"/>
        </w:trPr>
        <w:tc>
          <w:tcPr>
            <w:tcW w:w="2070" w:type="dxa"/>
            <w:tcBorders>
              <w:top w:val="nil"/>
              <w:left w:val="single" w:sz="4" w:space="0" w:color="auto"/>
              <w:bottom w:val="single" w:sz="4" w:space="0" w:color="auto"/>
              <w:right w:val="single" w:sz="4" w:space="0" w:color="auto"/>
            </w:tcBorders>
            <w:shd w:val="clear" w:color="auto" w:fill="auto"/>
            <w:noWrap/>
            <w:vAlign w:val="center"/>
          </w:tcPr>
          <w:p w:rsidR="003D1A1E" w:rsidRPr="003D1A1E" w:rsidRDefault="003D1A1E" w:rsidP="003D1A1E">
            <w:pP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18H1</w:t>
            </w:r>
            <w:r w:rsidRPr="003A0F6F">
              <w:rPr>
                <w:rFonts w:ascii="Times New Roman" w:eastAsia="Times New Roman" w:hAnsi="Times New Roman" w:cs="Times New Roman"/>
                <w:b/>
                <w:bCs/>
                <w:color w:val="000000"/>
                <w:sz w:val="20"/>
                <w:szCs w:val="20"/>
              </w:rPr>
              <w:t>_Portfolio_NFL</w:t>
            </w:r>
          </w:p>
        </w:tc>
        <w:tc>
          <w:tcPr>
            <w:tcW w:w="2335" w:type="dxa"/>
            <w:noWrap/>
          </w:tcPr>
          <w:p w:rsidR="003D1A1E" w:rsidRPr="005443B2" w:rsidRDefault="003D1A1E" w:rsidP="003D1A1E">
            <w:pPr>
              <w:jc w:val="center"/>
              <w:rPr>
                <w:rFonts w:ascii="Times New Roman" w:eastAsia="Times New Roman" w:hAnsi="Times New Roman" w:cs="Times New Roman"/>
                <w:color w:val="000000"/>
              </w:rPr>
            </w:pPr>
            <w:r w:rsidRPr="005443B2">
              <w:rPr>
                <w:rFonts w:ascii="Times New Roman" w:hAnsi="Times New Roman" w:cs="Times New Roman"/>
                <w:color w:val="000000"/>
                <w:kern w:val="24"/>
              </w:rPr>
              <w:t>1.582</w:t>
            </w:r>
          </w:p>
        </w:tc>
        <w:tc>
          <w:tcPr>
            <w:tcW w:w="2790" w:type="dxa"/>
            <w:noWrap/>
          </w:tcPr>
          <w:p w:rsidR="003D1A1E" w:rsidRPr="003D1A1E" w:rsidRDefault="003D1A1E" w:rsidP="003D1A1E">
            <w:pPr>
              <w:jc w:val="center"/>
              <w:rPr>
                <w:rFonts w:ascii="Times New Roman" w:eastAsia="Times New Roman" w:hAnsi="Times New Roman" w:cs="Times New Roman"/>
                <w:color w:val="000000"/>
              </w:rPr>
            </w:pPr>
            <w:r w:rsidRPr="003D1A1E">
              <w:rPr>
                <w:rFonts w:ascii="Times New Roman" w:hAnsi="Times New Roman" w:cs="Times New Roman"/>
                <w:color w:val="000000"/>
                <w:kern w:val="24"/>
              </w:rPr>
              <w:t>1.546</w:t>
            </w:r>
          </w:p>
        </w:tc>
      </w:tr>
    </w:tbl>
    <w:p w:rsidR="00321E0C" w:rsidRPr="002E4081" w:rsidRDefault="00321E0C" w:rsidP="00321E0C">
      <w:pPr>
        <w:spacing w:after="0"/>
        <w:rPr>
          <w:rFonts w:ascii="Times New Roman" w:hAnsi="Times New Roman" w:cs="Times New Roman"/>
          <w:sz w:val="18"/>
          <w:szCs w:val="24"/>
        </w:rPr>
      </w:pPr>
      <w:r w:rsidRPr="002E4081">
        <w:rPr>
          <w:rFonts w:ascii="Times New Roman" w:hAnsi="Times New Roman" w:cs="Times New Roman"/>
          <w:sz w:val="18"/>
          <w:szCs w:val="24"/>
        </w:rPr>
        <w:t>Portfolio_FL=Stocks with Futures listed on them</w:t>
      </w:r>
    </w:p>
    <w:p w:rsidR="00321E0C" w:rsidRDefault="00321E0C" w:rsidP="00321E0C">
      <w:pPr>
        <w:spacing w:after="0"/>
        <w:rPr>
          <w:rFonts w:ascii="Times New Roman" w:hAnsi="Times New Roman" w:cs="Times New Roman"/>
          <w:sz w:val="18"/>
          <w:szCs w:val="24"/>
        </w:rPr>
      </w:pPr>
      <w:r w:rsidRPr="002E4081">
        <w:rPr>
          <w:rFonts w:ascii="Times New Roman" w:hAnsi="Times New Roman" w:cs="Times New Roman"/>
          <w:sz w:val="18"/>
          <w:szCs w:val="24"/>
        </w:rPr>
        <w:t>Portfolio_NFL= Stocks</w:t>
      </w:r>
      <w:r>
        <w:rPr>
          <w:rFonts w:ascii="Times New Roman" w:hAnsi="Times New Roman" w:cs="Times New Roman"/>
          <w:sz w:val="18"/>
          <w:szCs w:val="24"/>
        </w:rPr>
        <w:t xml:space="preserve"> with no futures listed on them</w:t>
      </w:r>
    </w:p>
    <w:p w:rsidR="00321E0C" w:rsidRDefault="00321E0C" w:rsidP="00321E0C">
      <w:pPr>
        <w:spacing w:after="0"/>
        <w:rPr>
          <w:rFonts w:ascii="Times New Roman" w:hAnsi="Times New Roman" w:cs="Times New Roman"/>
          <w:sz w:val="18"/>
          <w:szCs w:val="24"/>
        </w:rPr>
      </w:pPr>
    </w:p>
    <w:p w:rsidR="005443B2" w:rsidRPr="00321E0C" w:rsidRDefault="005443B2" w:rsidP="00321E0C">
      <w:pPr>
        <w:spacing w:after="0" w:line="360" w:lineRule="auto"/>
        <w:jc w:val="both"/>
        <w:rPr>
          <w:rFonts w:ascii="Times New Roman" w:hAnsi="Times New Roman" w:cs="Times New Roman"/>
          <w:sz w:val="18"/>
          <w:szCs w:val="24"/>
        </w:rPr>
      </w:pPr>
      <w:r w:rsidRPr="00033D3C">
        <w:rPr>
          <w:rFonts w:ascii="Times New Roman" w:hAnsi="Times New Roman" w:cs="Times New Roman"/>
          <w:color w:val="000000" w:themeColor="text1"/>
          <w:sz w:val="24"/>
        </w:rPr>
        <w:t>Since, for size proxy, we used book value of total assets of a company for last financial year available. This makes the value of assets constant for one particular company during the entire period and thus it cannot be used in a time series equation to estimate volatility through PANEL GARCH in Eviews7. As</w:t>
      </w:r>
      <w:r w:rsidR="005F1B2C" w:rsidRPr="00033D3C">
        <w:rPr>
          <w:rFonts w:ascii="Times New Roman" w:hAnsi="Times New Roman" w:cs="Times New Roman"/>
          <w:color w:val="000000" w:themeColor="text1"/>
          <w:sz w:val="24"/>
        </w:rPr>
        <w:t xml:space="preserve">, Eviews7 do not have the feature of running PANEL GARCH </w:t>
      </w:r>
      <w:r w:rsidR="00BE6DDD" w:rsidRPr="00033D3C">
        <w:rPr>
          <w:rFonts w:ascii="Times New Roman" w:hAnsi="Times New Roman" w:cs="Times New Roman"/>
          <w:color w:val="000000" w:themeColor="text1"/>
          <w:sz w:val="24"/>
        </w:rPr>
        <w:t>model. So, we used Stata to estimat</w:t>
      </w:r>
      <w:r w:rsidRPr="00033D3C">
        <w:rPr>
          <w:rFonts w:ascii="Times New Roman" w:hAnsi="Times New Roman" w:cs="Times New Roman"/>
          <w:color w:val="000000" w:themeColor="text1"/>
          <w:sz w:val="24"/>
        </w:rPr>
        <w:t>e the symmetric volatility in</w:t>
      </w:r>
      <w:r w:rsidR="00BE6DDD" w:rsidRPr="00033D3C">
        <w:rPr>
          <w:rFonts w:ascii="Times New Roman" w:hAnsi="Times New Roman" w:cs="Times New Roman"/>
          <w:color w:val="000000" w:themeColor="text1"/>
          <w:sz w:val="24"/>
        </w:rPr>
        <w:t xml:space="preserve"> Multiple Factor Model.</w:t>
      </w:r>
    </w:p>
    <w:p w:rsidR="00281258" w:rsidRDefault="005443B2" w:rsidP="00FD3B88">
      <w:pPr>
        <w:spacing w:before="240" w:line="48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W</w:t>
      </w:r>
      <w:r w:rsidR="00672A1E">
        <w:rPr>
          <w:rFonts w:ascii="Times New Roman" w:hAnsi="Times New Roman" w:cs="Times New Roman"/>
          <w:color w:val="000000" w:themeColor="text1"/>
          <w:sz w:val="24"/>
        </w:rPr>
        <w:t xml:space="preserve">e can see from the </w:t>
      </w:r>
      <w:r w:rsidR="00962669">
        <w:rPr>
          <w:rFonts w:ascii="Times New Roman" w:hAnsi="Times New Roman" w:cs="Times New Roman"/>
          <w:color w:val="000000" w:themeColor="text1"/>
          <w:sz w:val="24"/>
        </w:rPr>
        <w:t xml:space="preserve">above </w:t>
      </w:r>
      <w:r w:rsidR="00672A1E">
        <w:rPr>
          <w:rFonts w:ascii="Times New Roman" w:hAnsi="Times New Roman" w:cs="Times New Roman"/>
          <w:color w:val="000000" w:themeColor="text1"/>
          <w:sz w:val="24"/>
        </w:rPr>
        <w:t xml:space="preserve">table </w:t>
      </w:r>
      <w:r w:rsidR="00875776">
        <w:rPr>
          <w:rFonts w:ascii="Times New Roman" w:hAnsi="Times New Roman" w:cs="Times New Roman"/>
          <w:color w:val="000000" w:themeColor="text1"/>
          <w:sz w:val="24"/>
        </w:rPr>
        <w:t xml:space="preserve">that </w:t>
      </w:r>
      <w:r w:rsidR="00672A1E">
        <w:rPr>
          <w:rFonts w:ascii="Times New Roman" w:hAnsi="Times New Roman" w:cs="Times New Roman"/>
          <w:color w:val="000000" w:themeColor="text1"/>
          <w:sz w:val="24"/>
        </w:rPr>
        <w:t>the symmetric volatility</w:t>
      </w:r>
      <w:r w:rsidR="00BE6DDD">
        <w:rPr>
          <w:rFonts w:ascii="Times New Roman" w:hAnsi="Times New Roman" w:cs="Times New Roman"/>
          <w:color w:val="000000" w:themeColor="text1"/>
          <w:sz w:val="24"/>
        </w:rPr>
        <w:t xml:space="preserve"> using CAPM</w:t>
      </w:r>
      <w:r w:rsidR="00672A1E">
        <w:rPr>
          <w:rFonts w:ascii="Times New Roman" w:hAnsi="Times New Roman" w:cs="Times New Roman"/>
          <w:color w:val="000000" w:themeColor="text1"/>
          <w:sz w:val="24"/>
        </w:rPr>
        <w:t xml:space="preserve"> of Portfolio_FL is </w:t>
      </w:r>
      <w:r w:rsidR="00BE6DDD">
        <w:rPr>
          <w:rFonts w:ascii="Times New Roman" w:hAnsi="Times New Roman" w:cs="Times New Roman"/>
          <w:color w:val="000000" w:themeColor="text1"/>
          <w:sz w:val="24"/>
        </w:rPr>
        <w:t xml:space="preserve">lesser </w:t>
      </w:r>
      <w:r w:rsidR="00672A1E">
        <w:rPr>
          <w:rFonts w:ascii="Times New Roman" w:hAnsi="Times New Roman" w:cs="Times New Roman"/>
          <w:color w:val="000000" w:themeColor="text1"/>
          <w:sz w:val="24"/>
        </w:rPr>
        <w:t>than Portfolio_NFL in all the period</w:t>
      </w:r>
      <w:r w:rsidR="007C7A34">
        <w:rPr>
          <w:rFonts w:ascii="Times New Roman" w:hAnsi="Times New Roman" w:cs="Times New Roman"/>
          <w:color w:val="000000" w:themeColor="text1"/>
          <w:sz w:val="24"/>
        </w:rPr>
        <w:t>s except first half of year 2016, first and second half of 2017</w:t>
      </w:r>
      <w:r w:rsidR="00672A1E">
        <w:rPr>
          <w:rFonts w:ascii="Times New Roman" w:hAnsi="Times New Roman" w:cs="Times New Roman"/>
          <w:color w:val="000000" w:themeColor="text1"/>
          <w:sz w:val="24"/>
        </w:rPr>
        <w:t>.</w:t>
      </w:r>
      <w:r w:rsidR="007C7A34">
        <w:rPr>
          <w:rFonts w:ascii="Times New Roman" w:hAnsi="Times New Roman" w:cs="Times New Roman"/>
          <w:color w:val="000000" w:themeColor="text1"/>
          <w:sz w:val="24"/>
        </w:rPr>
        <w:t xml:space="preserve"> However, in the most recent period i.e. first half of year 2018, the volatility of futures listed stocks remained less than non-futures listed stocks portfolio. </w:t>
      </w:r>
    </w:p>
    <w:p w:rsidR="009E66BD" w:rsidRDefault="00575492" w:rsidP="00FD3B88">
      <w:pPr>
        <w:spacing w:before="240" w:line="480" w:lineRule="auto"/>
        <w:jc w:val="both"/>
        <w:rPr>
          <w:rFonts w:ascii="Times New Roman" w:hAnsi="Times New Roman" w:cs="Times New Roman"/>
          <w:color w:val="000000" w:themeColor="text1"/>
          <w:sz w:val="24"/>
        </w:rPr>
      </w:pPr>
      <w:r w:rsidRPr="00033D3C">
        <w:rPr>
          <w:rFonts w:ascii="Times New Roman" w:hAnsi="Times New Roman" w:cs="Times New Roman"/>
          <w:color w:val="000000" w:themeColor="text1"/>
          <w:sz w:val="24"/>
        </w:rPr>
        <w:t>Likewise, in case of</w:t>
      </w:r>
      <w:r w:rsidR="008B616C" w:rsidRPr="00033D3C">
        <w:rPr>
          <w:rFonts w:ascii="Times New Roman" w:hAnsi="Times New Roman" w:cs="Times New Roman"/>
          <w:color w:val="000000" w:themeColor="text1"/>
          <w:sz w:val="24"/>
        </w:rPr>
        <w:t xml:space="preserve"> multiple factor model</w:t>
      </w:r>
      <w:r w:rsidRPr="00033D3C">
        <w:rPr>
          <w:rFonts w:ascii="Times New Roman" w:hAnsi="Times New Roman" w:cs="Times New Roman"/>
          <w:color w:val="000000" w:themeColor="text1"/>
          <w:sz w:val="24"/>
        </w:rPr>
        <w:t xml:space="preserve">, the symmetric volatility of Portfilio_FL is </w:t>
      </w:r>
      <w:r w:rsidR="005443B2" w:rsidRPr="00033D3C">
        <w:rPr>
          <w:rFonts w:ascii="Times New Roman" w:hAnsi="Times New Roman" w:cs="Times New Roman"/>
          <w:color w:val="000000" w:themeColor="text1"/>
          <w:sz w:val="24"/>
        </w:rPr>
        <w:t>greater</w:t>
      </w:r>
      <w:r w:rsidRPr="00033D3C">
        <w:rPr>
          <w:rFonts w:ascii="Times New Roman" w:hAnsi="Times New Roman" w:cs="Times New Roman"/>
          <w:color w:val="000000" w:themeColor="text1"/>
          <w:sz w:val="24"/>
        </w:rPr>
        <w:t xml:space="preserve"> as compared to Portfolio_NFL in all periods. </w:t>
      </w:r>
      <w:r w:rsidR="005443B2" w:rsidRPr="00033D3C">
        <w:rPr>
          <w:rFonts w:ascii="Times New Roman" w:hAnsi="Times New Roman" w:cs="Times New Roman"/>
          <w:color w:val="000000" w:themeColor="text1"/>
          <w:sz w:val="24"/>
        </w:rPr>
        <w:t xml:space="preserve">The results of </w:t>
      </w:r>
      <w:r w:rsidR="00B17104" w:rsidRPr="00033D3C">
        <w:rPr>
          <w:rFonts w:ascii="Times New Roman" w:hAnsi="Times New Roman" w:cs="Times New Roman"/>
          <w:color w:val="000000" w:themeColor="text1"/>
          <w:sz w:val="24"/>
        </w:rPr>
        <w:t xml:space="preserve">symmetric volatility </w:t>
      </w:r>
      <w:r w:rsidR="005443B2" w:rsidRPr="00033D3C">
        <w:rPr>
          <w:rFonts w:ascii="Times New Roman" w:hAnsi="Times New Roman" w:cs="Times New Roman"/>
          <w:color w:val="000000" w:themeColor="text1"/>
          <w:sz w:val="24"/>
        </w:rPr>
        <w:t xml:space="preserve">in factor model </w:t>
      </w:r>
      <w:r w:rsidR="00B17104" w:rsidRPr="00033D3C">
        <w:rPr>
          <w:rFonts w:ascii="Times New Roman" w:hAnsi="Times New Roman" w:cs="Times New Roman"/>
          <w:color w:val="000000" w:themeColor="text1"/>
          <w:sz w:val="24"/>
        </w:rPr>
        <w:t xml:space="preserve">depicts that in </w:t>
      </w:r>
      <w:r w:rsidR="005443B2" w:rsidRPr="00033D3C">
        <w:rPr>
          <w:rFonts w:ascii="Times New Roman" w:hAnsi="Times New Roman" w:cs="Times New Roman"/>
          <w:color w:val="000000" w:themeColor="text1"/>
          <w:sz w:val="24"/>
        </w:rPr>
        <w:t xml:space="preserve">all periods Portfolio_FL has greater risk involved. </w:t>
      </w:r>
      <w:r w:rsidR="006A1347" w:rsidRPr="00033D3C">
        <w:rPr>
          <w:rFonts w:ascii="Times New Roman" w:hAnsi="Times New Roman" w:cs="Times New Roman"/>
          <w:color w:val="000000" w:themeColor="text1"/>
          <w:sz w:val="24"/>
        </w:rPr>
        <w:t>Therefore</w:t>
      </w:r>
      <w:r w:rsidR="005443B2" w:rsidRPr="00033D3C">
        <w:rPr>
          <w:rFonts w:ascii="Times New Roman" w:hAnsi="Times New Roman" w:cs="Times New Roman"/>
          <w:color w:val="000000" w:themeColor="text1"/>
          <w:sz w:val="24"/>
        </w:rPr>
        <w:t xml:space="preserve">, it means with positive and greater alpha returns in </w:t>
      </w:r>
      <w:r w:rsidR="006A1347" w:rsidRPr="00033D3C">
        <w:rPr>
          <w:rFonts w:ascii="Times New Roman" w:hAnsi="Times New Roman" w:cs="Times New Roman"/>
          <w:color w:val="000000" w:themeColor="text1"/>
          <w:sz w:val="24"/>
        </w:rPr>
        <w:t xml:space="preserve">multiple </w:t>
      </w:r>
      <w:r w:rsidR="005443B2" w:rsidRPr="00033D3C">
        <w:rPr>
          <w:rFonts w:ascii="Times New Roman" w:hAnsi="Times New Roman" w:cs="Times New Roman"/>
          <w:color w:val="000000" w:themeColor="text1"/>
          <w:sz w:val="24"/>
        </w:rPr>
        <w:t>factor model, volatility is also higher.</w:t>
      </w:r>
    </w:p>
    <w:p w:rsidR="00575492" w:rsidRDefault="006A1347" w:rsidP="00FD3B88">
      <w:pPr>
        <w:spacing w:before="240" w:line="48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(For graph, see Appendix: Figure</w:t>
      </w:r>
      <w:r w:rsidR="009E66BD">
        <w:rPr>
          <w:rFonts w:ascii="Times New Roman" w:hAnsi="Times New Roman" w:cs="Times New Roman"/>
          <w:color w:val="000000" w:themeColor="text1"/>
          <w:sz w:val="24"/>
        </w:rPr>
        <w:t xml:space="preserve"> 7 and Figure 8</w:t>
      </w:r>
      <w:r>
        <w:rPr>
          <w:rFonts w:ascii="Times New Roman" w:hAnsi="Times New Roman" w:cs="Times New Roman"/>
          <w:color w:val="000000" w:themeColor="text1"/>
          <w:sz w:val="24"/>
        </w:rPr>
        <w:t>)</w:t>
      </w:r>
    </w:p>
    <w:p w:rsidR="00EA397A" w:rsidRPr="007760E0" w:rsidRDefault="00FF5A58" w:rsidP="00EA397A">
      <w:pPr>
        <w:pStyle w:val="Heading7"/>
        <w:rPr>
          <w:rFonts w:ascii="Times New Roman" w:hAnsi="Times New Roman" w:cs="Times New Roman"/>
          <w:b/>
          <w:i w:val="0"/>
          <w:color w:val="000000" w:themeColor="text1"/>
          <w:sz w:val="24"/>
        </w:rPr>
      </w:pPr>
      <w:bookmarkStart w:id="21" w:name="_Toc520219905"/>
      <w:r>
        <w:rPr>
          <w:rFonts w:ascii="Times New Roman" w:hAnsi="Times New Roman" w:cs="Times New Roman"/>
          <w:b/>
          <w:i w:val="0"/>
          <w:color w:val="000000" w:themeColor="text1"/>
          <w:sz w:val="24"/>
        </w:rPr>
        <w:t>4</w:t>
      </w:r>
      <w:r w:rsidR="00EA397A" w:rsidRPr="007760E0">
        <w:rPr>
          <w:rFonts w:ascii="Times New Roman" w:hAnsi="Times New Roman" w:cs="Times New Roman"/>
          <w:b/>
          <w:i w:val="0"/>
          <w:color w:val="000000" w:themeColor="text1"/>
          <w:sz w:val="24"/>
        </w:rPr>
        <w:t>.2.5 Tests of Equality for Means</w:t>
      </w:r>
      <w:bookmarkEnd w:id="21"/>
    </w:p>
    <w:p w:rsidR="00EA397A" w:rsidRDefault="00EA397A" w:rsidP="00EA397A">
      <w:pPr>
        <w:spacing w:before="240" w:line="48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We ran different tests to assess the equality for means of alpha returns for both portfolios in order to have final verdict on the efficiency of market. The results of CAPM and facto</w:t>
      </w:r>
      <w:r w:rsidR="00605B4D">
        <w:rPr>
          <w:rFonts w:ascii="Times New Roman" w:hAnsi="Times New Roman" w:cs="Times New Roman"/>
          <w:color w:val="000000" w:themeColor="text1"/>
          <w:sz w:val="24"/>
        </w:rPr>
        <w:t>r</w:t>
      </w:r>
      <w:r w:rsidR="00D30885">
        <w:rPr>
          <w:rFonts w:ascii="Times New Roman" w:hAnsi="Times New Roman" w:cs="Times New Roman"/>
          <w:color w:val="000000" w:themeColor="text1"/>
          <w:sz w:val="24"/>
        </w:rPr>
        <w:t xml:space="preserve"> model are displayed in table 17 and table 18</w:t>
      </w:r>
      <w:r>
        <w:rPr>
          <w:rFonts w:ascii="Times New Roman" w:hAnsi="Times New Roman" w:cs="Times New Roman"/>
          <w:color w:val="000000" w:themeColor="text1"/>
          <w:sz w:val="24"/>
        </w:rPr>
        <w:t xml:space="preserve">. </w:t>
      </w:r>
    </w:p>
    <w:p w:rsidR="00033D3C" w:rsidRDefault="00033D3C" w:rsidP="00EA397A">
      <w:pPr>
        <w:spacing w:before="240" w:line="480" w:lineRule="auto"/>
        <w:jc w:val="both"/>
        <w:rPr>
          <w:rFonts w:ascii="Times New Roman" w:hAnsi="Times New Roman" w:cs="Times New Roman"/>
          <w:color w:val="000000" w:themeColor="text1"/>
          <w:sz w:val="24"/>
        </w:rPr>
      </w:pPr>
    </w:p>
    <w:p w:rsidR="00033D3C" w:rsidRDefault="00033D3C" w:rsidP="00EA397A">
      <w:pPr>
        <w:spacing w:before="240" w:line="480" w:lineRule="auto"/>
        <w:jc w:val="both"/>
        <w:rPr>
          <w:rFonts w:ascii="Times New Roman" w:hAnsi="Times New Roman" w:cs="Times New Roman"/>
          <w:color w:val="000000" w:themeColor="text1"/>
          <w:sz w:val="24"/>
        </w:rPr>
      </w:pPr>
    </w:p>
    <w:p w:rsidR="00EA397A" w:rsidRDefault="00D30885" w:rsidP="00EA397A">
      <w:pPr>
        <w:spacing w:after="0" w:line="480" w:lineRule="auto"/>
        <w:jc w:val="both"/>
        <w:rPr>
          <w:rFonts w:ascii="Times New Roman" w:hAnsi="Times New Roman" w:cs="Times New Roman"/>
          <w:color w:val="000000" w:themeColor="text1"/>
          <w:sz w:val="24"/>
        </w:rPr>
      </w:pPr>
      <w:r>
        <w:rPr>
          <w:rFonts w:ascii="Times New Roman" w:hAnsi="Times New Roman" w:cs="Times New Roman"/>
          <w:b/>
          <w:color w:val="000000" w:themeColor="text1"/>
          <w:sz w:val="24"/>
        </w:rPr>
        <w:t>Table 17</w:t>
      </w:r>
      <w:r w:rsidR="00EA397A" w:rsidRPr="00676888">
        <w:rPr>
          <w:rFonts w:ascii="Times New Roman" w:hAnsi="Times New Roman" w:cs="Times New Roman"/>
          <w:b/>
          <w:color w:val="000000" w:themeColor="text1"/>
          <w:sz w:val="24"/>
        </w:rPr>
        <w:t>: Equality for Means of Alpha in CAPM (Equation 2)</w:t>
      </w:r>
    </w:p>
    <w:tbl>
      <w:tblPr>
        <w:tblW w:w="7681" w:type="dxa"/>
        <w:tblLook w:val="04A0"/>
      </w:tblPr>
      <w:tblGrid>
        <w:gridCol w:w="1989"/>
        <w:gridCol w:w="1971"/>
        <w:gridCol w:w="1041"/>
        <w:gridCol w:w="1260"/>
        <w:gridCol w:w="1420"/>
      </w:tblGrid>
      <w:tr w:rsidR="00EA397A" w:rsidRPr="00914A46" w:rsidTr="00D97F6F">
        <w:trPr>
          <w:trHeight w:val="300"/>
        </w:trPr>
        <w:tc>
          <w:tcPr>
            <w:tcW w:w="396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EA397A" w:rsidRPr="00914A46" w:rsidRDefault="00EA397A" w:rsidP="00341DF3">
            <w:pPr>
              <w:spacing w:after="0" w:line="240" w:lineRule="auto"/>
              <w:jc w:val="center"/>
              <w:rPr>
                <w:rFonts w:ascii="Times New Roman" w:eastAsia="Times New Roman" w:hAnsi="Times New Roman" w:cs="Times New Roman"/>
                <w:b/>
                <w:bCs/>
                <w:color w:val="000000"/>
              </w:rPr>
            </w:pPr>
            <w:r w:rsidRPr="00914A46">
              <w:rPr>
                <w:rFonts w:ascii="Times New Roman" w:eastAsia="Times New Roman" w:hAnsi="Times New Roman" w:cs="Times New Roman"/>
                <w:b/>
                <w:bCs/>
                <w:color w:val="000000"/>
              </w:rPr>
              <w:t>Tests</w:t>
            </w:r>
          </w:p>
        </w:tc>
        <w:tc>
          <w:tcPr>
            <w:tcW w:w="1041" w:type="dxa"/>
            <w:tcBorders>
              <w:top w:val="single" w:sz="4" w:space="0" w:color="auto"/>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center"/>
              <w:rPr>
                <w:rFonts w:ascii="Times New Roman" w:eastAsia="Times New Roman" w:hAnsi="Times New Roman" w:cs="Times New Roman"/>
                <w:b/>
                <w:bCs/>
                <w:color w:val="000000"/>
              </w:rPr>
            </w:pPr>
            <w:r w:rsidRPr="00914A46">
              <w:rPr>
                <w:rFonts w:ascii="Times New Roman" w:eastAsia="Times New Roman" w:hAnsi="Times New Roman" w:cs="Times New Roman"/>
                <w:b/>
                <w:bCs/>
                <w:color w:val="000000"/>
              </w:rPr>
              <w:t>df</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center"/>
              <w:rPr>
                <w:rFonts w:ascii="Times New Roman" w:eastAsia="Times New Roman" w:hAnsi="Times New Roman" w:cs="Times New Roman"/>
                <w:b/>
                <w:bCs/>
                <w:color w:val="000000"/>
              </w:rPr>
            </w:pPr>
            <w:r w:rsidRPr="00914A46">
              <w:rPr>
                <w:rFonts w:ascii="Times New Roman" w:eastAsia="Times New Roman" w:hAnsi="Times New Roman" w:cs="Times New Roman"/>
                <w:b/>
                <w:bCs/>
                <w:color w:val="000000"/>
              </w:rPr>
              <w:t>Value</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center"/>
              <w:rPr>
                <w:rFonts w:ascii="Times New Roman" w:eastAsia="Times New Roman" w:hAnsi="Times New Roman" w:cs="Times New Roman"/>
                <w:b/>
                <w:bCs/>
                <w:color w:val="000000"/>
              </w:rPr>
            </w:pPr>
            <w:r w:rsidRPr="00914A46">
              <w:rPr>
                <w:rFonts w:ascii="Times New Roman" w:eastAsia="Times New Roman" w:hAnsi="Times New Roman" w:cs="Times New Roman"/>
                <w:b/>
                <w:bCs/>
                <w:color w:val="000000"/>
              </w:rPr>
              <w:t>Probability</w:t>
            </w:r>
          </w:p>
        </w:tc>
      </w:tr>
      <w:tr w:rsidR="00EA397A" w:rsidRPr="00914A46" w:rsidTr="00D97F6F">
        <w:trPr>
          <w:trHeight w:val="300"/>
        </w:trPr>
        <w:tc>
          <w:tcPr>
            <w:tcW w:w="3960" w:type="dxa"/>
            <w:gridSpan w:val="2"/>
            <w:vMerge/>
            <w:tcBorders>
              <w:top w:val="single" w:sz="4" w:space="0" w:color="auto"/>
              <w:left w:val="single" w:sz="4" w:space="0" w:color="auto"/>
              <w:bottom w:val="single" w:sz="4" w:space="0" w:color="000000"/>
              <w:right w:val="single" w:sz="4" w:space="0" w:color="000000"/>
            </w:tcBorders>
            <w:vAlign w:val="center"/>
            <w:hideMark/>
          </w:tcPr>
          <w:p w:rsidR="00EA397A" w:rsidRPr="00914A46" w:rsidRDefault="00EA397A" w:rsidP="00341DF3">
            <w:pPr>
              <w:spacing w:after="0" w:line="240" w:lineRule="auto"/>
              <w:rPr>
                <w:rFonts w:ascii="Times New Roman" w:eastAsia="Times New Roman" w:hAnsi="Times New Roman" w:cs="Times New Roman"/>
                <w:b/>
                <w:bCs/>
                <w:color w:val="000000"/>
              </w:rPr>
            </w:pPr>
          </w:p>
        </w:tc>
        <w:tc>
          <w:tcPr>
            <w:tcW w:w="1041"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rPr>
                <w:rFonts w:ascii="Times New Roman" w:eastAsia="Times New Roman" w:hAnsi="Times New Roman" w:cs="Times New Roman"/>
                <w:color w:val="000000"/>
              </w:rPr>
            </w:pPr>
            <w:r w:rsidRPr="00914A46">
              <w:rPr>
                <w:rFonts w:ascii="Times New Roman" w:eastAsia="Times New Roman" w:hAnsi="Times New Roman"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rPr>
                <w:rFonts w:ascii="Times New Roman" w:eastAsia="Times New Roman" w:hAnsi="Times New Roman" w:cs="Times New Roman"/>
                <w:color w:val="000000"/>
              </w:rPr>
            </w:pPr>
            <w:r w:rsidRPr="00914A46">
              <w:rPr>
                <w:rFonts w:ascii="Times New Roman" w:eastAsia="Times New Roman" w:hAnsi="Times New Roman" w:cs="Times New Roman"/>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rPr>
                <w:rFonts w:ascii="Times New Roman" w:eastAsia="Times New Roman" w:hAnsi="Times New Roman" w:cs="Times New Roman"/>
                <w:color w:val="000000"/>
              </w:rPr>
            </w:pPr>
            <w:r w:rsidRPr="00914A46">
              <w:rPr>
                <w:rFonts w:ascii="Times New Roman" w:eastAsia="Times New Roman" w:hAnsi="Times New Roman" w:cs="Times New Roman"/>
                <w:color w:val="000000"/>
              </w:rPr>
              <w:t> </w:t>
            </w:r>
          </w:p>
        </w:tc>
      </w:tr>
      <w:tr w:rsidR="00EA397A" w:rsidRPr="00914A46" w:rsidTr="00D97F6F">
        <w:trPr>
          <w:trHeight w:val="300"/>
        </w:trPr>
        <w:tc>
          <w:tcPr>
            <w:tcW w:w="39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A397A" w:rsidRPr="00914A46" w:rsidRDefault="00EA397A" w:rsidP="00341DF3">
            <w:pPr>
              <w:spacing w:after="0" w:line="240" w:lineRule="auto"/>
              <w:rPr>
                <w:rFonts w:ascii="Times New Roman" w:eastAsia="Times New Roman" w:hAnsi="Times New Roman" w:cs="Times New Roman"/>
                <w:color w:val="000000"/>
              </w:rPr>
            </w:pPr>
            <w:r w:rsidRPr="00914A46">
              <w:rPr>
                <w:rFonts w:ascii="Times New Roman" w:eastAsia="Times New Roman" w:hAnsi="Times New Roman" w:cs="Times New Roman"/>
                <w:color w:val="000000"/>
              </w:rPr>
              <w:t>t-test</w:t>
            </w:r>
          </w:p>
        </w:tc>
        <w:tc>
          <w:tcPr>
            <w:tcW w:w="1041"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20</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-23.77614</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0</w:t>
            </w:r>
            <w:r w:rsidR="0042720C">
              <w:rPr>
                <w:rFonts w:ascii="Times New Roman" w:eastAsia="Times New Roman" w:hAnsi="Times New Roman" w:cs="Times New Roman"/>
                <w:color w:val="000000"/>
              </w:rPr>
              <w:t>.0000</w:t>
            </w:r>
          </w:p>
        </w:tc>
      </w:tr>
      <w:tr w:rsidR="00EA397A" w:rsidRPr="00914A46" w:rsidTr="00D97F6F">
        <w:trPr>
          <w:trHeight w:val="300"/>
        </w:trPr>
        <w:tc>
          <w:tcPr>
            <w:tcW w:w="39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A397A" w:rsidRPr="00914A46" w:rsidRDefault="00EA397A" w:rsidP="00341DF3">
            <w:pPr>
              <w:spacing w:after="0" w:line="240" w:lineRule="auto"/>
              <w:rPr>
                <w:rFonts w:ascii="Times New Roman" w:eastAsia="Times New Roman" w:hAnsi="Times New Roman" w:cs="Times New Roman"/>
                <w:color w:val="000000"/>
              </w:rPr>
            </w:pPr>
            <w:r w:rsidRPr="00914A46">
              <w:rPr>
                <w:rFonts w:ascii="Times New Roman" w:eastAsia="Times New Roman" w:hAnsi="Times New Roman" w:cs="Times New Roman"/>
                <w:color w:val="000000"/>
              </w:rPr>
              <w:t>Satterthwaite-Welch t-test*</w:t>
            </w:r>
          </w:p>
        </w:tc>
        <w:tc>
          <w:tcPr>
            <w:tcW w:w="1041"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14.67998</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-23.77614</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0</w:t>
            </w:r>
            <w:r w:rsidR="0042720C">
              <w:rPr>
                <w:rFonts w:ascii="Times New Roman" w:eastAsia="Times New Roman" w:hAnsi="Times New Roman" w:cs="Times New Roman"/>
                <w:color w:val="000000"/>
              </w:rPr>
              <w:t>.0000</w:t>
            </w:r>
          </w:p>
        </w:tc>
      </w:tr>
      <w:tr w:rsidR="00EA397A" w:rsidRPr="00914A46" w:rsidTr="00D97F6F">
        <w:trPr>
          <w:trHeight w:val="300"/>
        </w:trPr>
        <w:tc>
          <w:tcPr>
            <w:tcW w:w="39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A397A" w:rsidRPr="00914A46" w:rsidRDefault="00EA397A" w:rsidP="00341DF3">
            <w:pPr>
              <w:spacing w:after="0" w:line="240" w:lineRule="auto"/>
              <w:rPr>
                <w:rFonts w:ascii="Times New Roman" w:eastAsia="Times New Roman" w:hAnsi="Times New Roman" w:cs="Times New Roman"/>
                <w:color w:val="000000"/>
              </w:rPr>
            </w:pPr>
            <w:r w:rsidRPr="00914A46">
              <w:rPr>
                <w:rFonts w:ascii="Times New Roman" w:eastAsia="Times New Roman" w:hAnsi="Times New Roman" w:cs="Times New Roman"/>
                <w:color w:val="000000"/>
              </w:rPr>
              <w:t>Anova F-test</w:t>
            </w:r>
          </w:p>
        </w:tc>
        <w:tc>
          <w:tcPr>
            <w:tcW w:w="1041"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(1, 20)</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565.305</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0</w:t>
            </w:r>
            <w:r w:rsidR="0042720C">
              <w:rPr>
                <w:rFonts w:ascii="Times New Roman" w:eastAsia="Times New Roman" w:hAnsi="Times New Roman" w:cs="Times New Roman"/>
                <w:color w:val="000000"/>
              </w:rPr>
              <w:t>.0000</w:t>
            </w:r>
          </w:p>
        </w:tc>
      </w:tr>
      <w:tr w:rsidR="00EA397A" w:rsidRPr="00914A46" w:rsidTr="00D97F6F">
        <w:trPr>
          <w:trHeight w:val="300"/>
        </w:trPr>
        <w:tc>
          <w:tcPr>
            <w:tcW w:w="39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A397A" w:rsidRPr="00914A46" w:rsidRDefault="00EA397A" w:rsidP="00341DF3">
            <w:pPr>
              <w:spacing w:after="0" w:line="240" w:lineRule="auto"/>
              <w:rPr>
                <w:rFonts w:ascii="Times New Roman" w:eastAsia="Times New Roman" w:hAnsi="Times New Roman" w:cs="Times New Roman"/>
                <w:color w:val="000000"/>
              </w:rPr>
            </w:pPr>
            <w:r w:rsidRPr="00914A46">
              <w:rPr>
                <w:rFonts w:ascii="Times New Roman" w:eastAsia="Times New Roman" w:hAnsi="Times New Roman" w:cs="Times New Roman"/>
                <w:color w:val="000000"/>
              </w:rPr>
              <w:t>Welch F-test*</w:t>
            </w:r>
          </w:p>
        </w:tc>
        <w:tc>
          <w:tcPr>
            <w:tcW w:w="1041"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w:t>
            </w:r>
            <w:r w:rsidRPr="00914A46">
              <w:rPr>
                <w:rFonts w:ascii="Times New Roman" w:eastAsia="Times New Roman" w:hAnsi="Times New Roman" w:cs="Times New Roman"/>
                <w:color w:val="000000"/>
              </w:rPr>
              <w:t>14.68)</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565.305</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0</w:t>
            </w:r>
            <w:r w:rsidR="0042720C">
              <w:rPr>
                <w:rFonts w:ascii="Times New Roman" w:eastAsia="Times New Roman" w:hAnsi="Times New Roman" w:cs="Times New Roman"/>
                <w:color w:val="000000"/>
              </w:rPr>
              <w:t>.0000</w:t>
            </w:r>
          </w:p>
        </w:tc>
      </w:tr>
      <w:tr w:rsidR="00D97F6F" w:rsidRPr="00914A46" w:rsidTr="00341DF3">
        <w:trPr>
          <w:trHeight w:val="413"/>
        </w:trPr>
        <w:tc>
          <w:tcPr>
            <w:tcW w:w="7681" w:type="dxa"/>
            <w:gridSpan w:val="5"/>
            <w:tcBorders>
              <w:top w:val="nil"/>
              <w:left w:val="nil"/>
              <w:bottom w:val="nil"/>
            </w:tcBorders>
            <w:shd w:val="clear" w:color="auto" w:fill="auto"/>
            <w:noWrap/>
            <w:vAlign w:val="bottom"/>
            <w:hideMark/>
          </w:tcPr>
          <w:p w:rsidR="00D97F6F" w:rsidRDefault="00D97F6F" w:rsidP="00341DF3">
            <w:pPr>
              <w:spacing w:after="0" w:line="240" w:lineRule="auto"/>
              <w:rPr>
                <w:rFonts w:ascii="Times New Roman" w:eastAsia="Times New Roman" w:hAnsi="Times New Roman" w:cs="Times New Roman"/>
                <w:color w:val="000000"/>
              </w:rPr>
            </w:pPr>
          </w:p>
          <w:p w:rsidR="00D97F6F" w:rsidRPr="00914A46" w:rsidRDefault="00D97F6F" w:rsidP="00341DF3">
            <w:pPr>
              <w:spacing w:after="0" w:line="240" w:lineRule="auto"/>
              <w:rPr>
                <w:rFonts w:ascii="Times New Roman" w:eastAsia="Times New Roman" w:hAnsi="Times New Roman" w:cs="Times New Roman"/>
                <w:sz w:val="20"/>
                <w:szCs w:val="20"/>
              </w:rPr>
            </w:pPr>
          </w:p>
        </w:tc>
      </w:tr>
      <w:tr w:rsidR="00EA397A" w:rsidRPr="00914A46" w:rsidTr="00D97F6F">
        <w:trPr>
          <w:trHeight w:val="300"/>
        </w:trPr>
        <w:tc>
          <w:tcPr>
            <w:tcW w:w="1989"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center"/>
              <w:rPr>
                <w:rFonts w:ascii="Times New Roman" w:eastAsia="Times New Roman" w:hAnsi="Times New Roman" w:cs="Times New Roman"/>
                <w:b/>
                <w:bCs/>
                <w:color w:val="000000"/>
              </w:rPr>
            </w:pPr>
            <w:r w:rsidRPr="00914A46">
              <w:rPr>
                <w:rFonts w:ascii="Times New Roman" w:eastAsia="Times New Roman" w:hAnsi="Times New Roman" w:cs="Times New Roman"/>
                <w:b/>
                <w:bCs/>
                <w:color w:val="000000"/>
              </w:rPr>
              <w:t>Variable</w:t>
            </w:r>
          </w:p>
        </w:tc>
        <w:tc>
          <w:tcPr>
            <w:tcW w:w="1971"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center"/>
              <w:rPr>
                <w:rFonts w:ascii="Times New Roman" w:eastAsia="Times New Roman" w:hAnsi="Times New Roman" w:cs="Times New Roman"/>
                <w:b/>
                <w:bCs/>
                <w:color w:val="000000"/>
              </w:rPr>
            </w:pPr>
            <w:r w:rsidRPr="00914A46">
              <w:rPr>
                <w:rFonts w:ascii="Times New Roman" w:eastAsia="Times New Roman" w:hAnsi="Times New Roman" w:cs="Times New Roman"/>
                <w:b/>
                <w:bCs/>
                <w:color w:val="000000"/>
              </w:rPr>
              <w:t>Observations</w:t>
            </w:r>
          </w:p>
        </w:tc>
        <w:tc>
          <w:tcPr>
            <w:tcW w:w="1041"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center"/>
              <w:rPr>
                <w:rFonts w:ascii="Times New Roman" w:eastAsia="Times New Roman" w:hAnsi="Times New Roman" w:cs="Times New Roman"/>
                <w:b/>
                <w:bCs/>
                <w:color w:val="000000"/>
              </w:rPr>
            </w:pPr>
            <w:r w:rsidRPr="00914A46">
              <w:rPr>
                <w:rFonts w:ascii="Times New Roman" w:eastAsia="Times New Roman" w:hAnsi="Times New Roman" w:cs="Times New Roman"/>
                <w:b/>
                <w:bCs/>
                <w:color w:val="000000"/>
              </w:rPr>
              <w:t>Mean</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center"/>
              <w:rPr>
                <w:rFonts w:ascii="Times New Roman" w:eastAsia="Times New Roman" w:hAnsi="Times New Roman" w:cs="Times New Roman"/>
                <w:b/>
                <w:bCs/>
                <w:color w:val="000000"/>
              </w:rPr>
            </w:pPr>
            <w:r w:rsidRPr="00914A46">
              <w:rPr>
                <w:rFonts w:ascii="Times New Roman" w:eastAsia="Times New Roman" w:hAnsi="Times New Roman" w:cs="Times New Roman"/>
                <w:b/>
                <w:bCs/>
                <w:color w:val="000000"/>
              </w:rPr>
              <w:t>Std. Dev.</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A397A" w:rsidRPr="00914A46" w:rsidRDefault="00EA397A" w:rsidP="00341DF3">
            <w:pPr>
              <w:spacing w:after="0" w:line="240" w:lineRule="auto"/>
              <w:jc w:val="center"/>
              <w:rPr>
                <w:rFonts w:ascii="Times New Roman" w:eastAsia="Times New Roman" w:hAnsi="Times New Roman" w:cs="Times New Roman"/>
                <w:b/>
                <w:bCs/>
                <w:color w:val="000000"/>
              </w:rPr>
            </w:pPr>
            <w:r w:rsidRPr="00914A46">
              <w:rPr>
                <w:rFonts w:ascii="Times New Roman" w:eastAsia="Times New Roman" w:hAnsi="Times New Roman" w:cs="Times New Roman"/>
                <w:b/>
                <w:bCs/>
                <w:color w:val="000000"/>
              </w:rPr>
              <w:t>Std. Err. Of Mean</w:t>
            </w:r>
          </w:p>
        </w:tc>
      </w:tr>
      <w:tr w:rsidR="00EA397A" w:rsidRPr="00914A46" w:rsidTr="00D97F6F">
        <w:trPr>
          <w:trHeight w:val="450"/>
        </w:trPr>
        <w:tc>
          <w:tcPr>
            <w:tcW w:w="1989" w:type="dxa"/>
            <w:vMerge/>
            <w:tcBorders>
              <w:top w:val="single" w:sz="4" w:space="0" w:color="auto"/>
              <w:left w:val="single" w:sz="4" w:space="0" w:color="auto"/>
              <w:bottom w:val="single" w:sz="4" w:space="0" w:color="auto"/>
              <w:right w:val="single" w:sz="4" w:space="0" w:color="auto"/>
            </w:tcBorders>
            <w:vAlign w:val="center"/>
            <w:hideMark/>
          </w:tcPr>
          <w:p w:rsidR="00EA397A" w:rsidRPr="00914A46" w:rsidRDefault="00EA397A" w:rsidP="00341DF3">
            <w:pPr>
              <w:spacing w:after="0" w:line="240" w:lineRule="auto"/>
              <w:rPr>
                <w:rFonts w:ascii="Times New Roman" w:eastAsia="Times New Roman" w:hAnsi="Times New Roman" w:cs="Times New Roman"/>
                <w:b/>
                <w:bCs/>
                <w:color w:val="000000"/>
              </w:rPr>
            </w:pPr>
          </w:p>
        </w:tc>
        <w:tc>
          <w:tcPr>
            <w:tcW w:w="1971" w:type="dxa"/>
            <w:vMerge/>
            <w:tcBorders>
              <w:top w:val="single" w:sz="4" w:space="0" w:color="auto"/>
              <w:left w:val="single" w:sz="4" w:space="0" w:color="auto"/>
              <w:bottom w:val="single" w:sz="4" w:space="0" w:color="auto"/>
              <w:right w:val="single" w:sz="4" w:space="0" w:color="auto"/>
            </w:tcBorders>
            <w:vAlign w:val="center"/>
            <w:hideMark/>
          </w:tcPr>
          <w:p w:rsidR="00EA397A" w:rsidRPr="00914A46" w:rsidRDefault="00EA397A" w:rsidP="00341DF3">
            <w:pPr>
              <w:spacing w:after="0" w:line="240" w:lineRule="auto"/>
              <w:rPr>
                <w:rFonts w:ascii="Times New Roman" w:eastAsia="Times New Roman" w:hAnsi="Times New Roman" w:cs="Times New Roman"/>
                <w:b/>
                <w:bCs/>
                <w:color w:val="000000"/>
              </w:rPr>
            </w:pPr>
          </w:p>
        </w:tc>
        <w:tc>
          <w:tcPr>
            <w:tcW w:w="1041" w:type="dxa"/>
            <w:vMerge/>
            <w:tcBorders>
              <w:top w:val="single" w:sz="4" w:space="0" w:color="auto"/>
              <w:left w:val="single" w:sz="4" w:space="0" w:color="auto"/>
              <w:bottom w:val="single" w:sz="4" w:space="0" w:color="auto"/>
              <w:right w:val="single" w:sz="4" w:space="0" w:color="auto"/>
            </w:tcBorders>
            <w:vAlign w:val="center"/>
            <w:hideMark/>
          </w:tcPr>
          <w:p w:rsidR="00EA397A" w:rsidRPr="00914A46" w:rsidRDefault="00EA397A" w:rsidP="00341DF3">
            <w:pPr>
              <w:spacing w:after="0" w:line="240" w:lineRule="auto"/>
              <w:rPr>
                <w:rFonts w:ascii="Times New Roman" w:eastAsia="Times New Roman" w:hAnsi="Times New Roman" w:cs="Times New Roman"/>
                <w:b/>
                <w:bCs/>
                <w:color w:val="00000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EA397A" w:rsidRPr="00914A46" w:rsidRDefault="00EA397A" w:rsidP="00341DF3">
            <w:pPr>
              <w:spacing w:after="0" w:line="240" w:lineRule="auto"/>
              <w:rPr>
                <w:rFonts w:ascii="Times New Roman" w:eastAsia="Times New Roman" w:hAnsi="Times New Roman" w:cs="Times New Roman"/>
                <w:b/>
                <w:bCs/>
                <w:color w:val="000000"/>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EA397A" w:rsidRPr="00914A46" w:rsidRDefault="00EA397A" w:rsidP="00341DF3">
            <w:pPr>
              <w:spacing w:after="0" w:line="240" w:lineRule="auto"/>
              <w:rPr>
                <w:rFonts w:ascii="Times New Roman" w:eastAsia="Times New Roman" w:hAnsi="Times New Roman" w:cs="Times New Roman"/>
                <w:b/>
                <w:bCs/>
                <w:color w:val="000000"/>
              </w:rPr>
            </w:pPr>
          </w:p>
        </w:tc>
      </w:tr>
      <w:tr w:rsidR="00EA397A" w:rsidRPr="00914A46" w:rsidTr="00D97F6F">
        <w:trPr>
          <w:trHeight w:val="300"/>
        </w:trPr>
        <w:tc>
          <w:tcPr>
            <w:tcW w:w="1989" w:type="dxa"/>
            <w:tcBorders>
              <w:top w:val="nil"/>
              <w:left w:val="single" w:sz="4" w:space="0" w:color="auto"/>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rPr>
                <w:rFonts w:ascii="Times New Roman" w:eastAsia="Times New Roman" w:hAnsi="Times New Roman" w:cs="Times New Roman"/>
                <w:color w:val="000000"/>
              </w:rPr>
            </w:pPr>
            <w:r w:rsidRPr="00914A46">
              <w:rPr>
                <w:rFonts w:ascii="Times New Roman" w:eastAsia="Times New Roman" w:hAnsi="Times New Roman" w:cs="Times New Roman"/>
                <w:color w:val="000000"/>
              </w:rPr>
              <w:t>ALPHA_FL</w:t>
            </w:r>
          </w:p>
        </w:tc>
        <w:tc>
          <w:tcPr>
            <w:tcW w:w="1971"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11</w:t>
            </w:r>
          </w:p>
        </w:tc>
        <w:tc>
          <w:tcPr>
            <w:tcW w:w="1041"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-0.31757</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0.129181</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0.03895</w:t>
            </w:r>
          </w:p>
        </w:tc>
      </w:tr>
      <w:tr w:rsidR="00EA397A" w:rsidRPr="00914A46" w:rsidTr="00D97F6F">
        <w:trPr>
          <w:trHeight w:val="300"/>
        </w:trPr>
        <w:tc>
          <w:tcPr>
            <w:tcW w:w="1989" w:type="dxa"/>
            <w:tcBorders>
              <w:top w:val="nil"/>
              <w:left w:val="single" w:sz="4" w:space="0" w:color="auto"/>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rPr>
                <w:rFonts w:ascii="Times New Roman" w:eastAsia="Times New Roman" w:hAnsi="Times New Roman" w:cs="Times New Roman"/>
                <w:color w:val="000000"/>
              </w:rPr>
            </w:pPr>
            <w:r w:rsidRPr="00914A46">
              <w:rPr>
                <w:rFonts w:ascii="Times New Roman" w:eastAsia="Times New Roman" w:hAnsi="Times New Roman" w:cs="Times New Roman"/>
                <w:color w:val="000000"/>
              </w:rPr>
              <w:t>ALPHA_NFL</w:t>
            </w:r>
          </w:p>
        </w:tc>
        <w:tc>
          <w:tcPr>
            <w:tcW w:w="1971"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11</w:t>
            </w:r>
          </w:p>
        </w:tc>
        <w:tc>
          <w:tcPr>
            <w:tcW w:w="1041"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0.717166</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0.064389</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0.019414</w:t>
            </w:r>
          </w:p>
        </w:tc>
      </w:tr>
      <w:tr w:rsidR="00EA397A" w:rsidRPr="00914A46" w:rsidTr="00D97F6F">
        <w:trPr>
          <w:trHeight w:val="300"/>
        </w:trPr>
        <w:tc>
          <w:tcPr>
            <w:tcW w:w="1989" w:type="dxa"/>
            <w:tcBorders>
              <w:top w:val="nil"/>
              <w:left w:val="single" w:sz="4" w:space="0" w:color="auto"/>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rPr>
                <w:rFonts w:ascii="Times New Roman" w:eastAsia="Times New Roman" w:hAnsi="Times New Roman" w:cs="Times New Roman"/>
                <w:color w:val="000000"/>
              </w:rPr>
            </w:pPr>
            <w:r w:rsidRPr="00914A46">
              <w:rPr>
                <w:rFonts w:ascii="Times New Roman" w:eastAsia="Times New Roman" w:hAnsi="Times New Roman" w:cs="Times New Roman"/>
                <w:color w:val="000000"/>
              </w:rPr>
              <w:t>All</w:t>
            </w:r>
          </w:p>
        </w:tc>
        <w:tc>
          <w:tcPr>
            <w:tcW w:w="1971"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22</w:t>
            </w:r>
          </w:p>
        </w:tc>
        <w:tc>
          <w:tcPr>
            <w:tcW w:w="1041"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0.1998</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0.538827</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914A46" w:rsidRDefault="00EA397A" w:rsidP="00341DF3">
            <w:pPr>
              <w:spacing w:after="0" w:line="240" w:lineRule="auto"/>
              <w:jc w:val="right"/>
              <w:rPr>
                <w:rFonts w:ascii="Times New Roman" w:eastAsia="Times New Roman" w:hAnsi="Times New Roman" w:cs="Times New Roman"/>
                <w:color w:val="000000"/>
              </w:rPr>
            </w:pPr>
            <w:r w:rsidRPr="00914A46">
              <w:rPr>
                <w:rFonts w:ascii="Times New Roman" w:eastAsia="Times New Roman" w:hAnsi="Times New Roman" w:cs="Times New Roman"/>
                <w:color w:val="000000"/>
              </w:rPr>
              <w:t>0.114878</w:t>
            </w:r>
          </w:p>
        </w:tc>
      </w:tr>
    </w:tbl>
    <w:p w:rsidR="009E66BD" w:rsidRDefault="009E66BD" w:rsidP="00EA397A">
      <w:pPr>
        <w:spacing w:after="0" w:line="480" w:lineRule="auto"/>
        <w:jc w:val="both"/>
        <w:rPr>
          <w:rFonts w:ascii="Times New Roman" w:hAnsi="Times New Roman" w:cs="Times New Roman"/>
          <w:color w:val="000000" w:themeColor="text1"/>
          <w:sz w:val="24"/>
        </w:rPr>
      </w:pPr>
    </w:p>
    <w:p w:rsidR="00EA397A" w:rsidRPr="00676888" w:rsidRDefault="00D30885" w:rsidP="00EA397A">
      <w:pPr>
        <w:spacing w:after="0" w:line="480" w:lineRule="auto"/>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Table 18</w:t>
      </w:r>
      <w:r w:rsidR="00EA397A" w:rsidRPr="00676888">
        <w:rPr>
          <w:rFonts w:ascii="Times New Roman" w:hAnsi="Times New Roman" w:cs="Times New Roman"/>
          <w:b/>
          <w:color w:val="000000" w:themeColor="text1"/>
          <w:sz w:val="24"/>
        </w:rPr>
        <w:t>:Equality for Me</w:t>
      </w:r>
      <w:r w:rsidR="00EA397A">
        <w:rPr>
          <w:rFonts w:ascii="Times New Roman" w:hAnsi="Times New Roman" w:cs="Times New Roman"/>
          <w:b/>
          <w:color w:val="000000" w:themeColor="text1"/>
          <w:sz w:val="24"/>
        </w:rPr>
        <w:t>ans of Alpha in Factor Model (Equation 3</w:t>
      </w:r>
      <w:r w:rsidR="00EA397A" w:rsidRPr="00676888">
        <w:rPr>
          <w:rFonts w:ascii="Times New Roman" w:hAnsi="Times New Roman" w:cs="Times New Roman"/>
          <w:b/>
          <w:color w:val="000000" w:themeColor="text1"/>
          <w:sz w:val="24"/>
        </w:rPr>
        <w:t>)</w:t>
      </w:r>
    </w:p>
    <w:tbl>
      <w:tblPr>
        <w:tblW w:w="7800" w:type="dxa"/>
        <w:tblLook w:val="04A0"/>
      </w:tblPr>
      <w:tblGrid>
        <w:gridCol w:w="1989"/>
        <w:gridCol w:w="1971"/>
        <w:gridCol w:w="1243"/>
        <w:gridCol w:w="1260"/>
        <w:gridCol w:w="1420"/>
      </w:tblGrid>
      <w:tr w:rsidR="00EA397A" w:rsidRPr="00274EF6" w:rsidTr="00341DF3">
        <w:trPr>
          <w:trHeight w:val="300"/>
        </w:trPr>
        <w:tc>
          <w:tcPr>
            <w:tcW w:w="396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EA397A" w:rsidRPr="00274EF6" w:rsidRDefault="00EA397A" w:rsidP="00341DF3">
            <w:pPr>
              <w:spacing w:after="0" w:line="240" w:lineRule="auto"/>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Tests</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df</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Value</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Probability</w:t>
            </w:r>
          </w:p>
        </w:tc>
      </w:tr>
      <w:tr w:rsidR="00EA397A" w:rsidRPr="00274EF6" w:rsidTr="00341DF3">
        <w:trPr>
          <w:trHeight w:val="300"/>
        </w:trPr>
        <w:tc>
          <w:tcPr>
            <w:tcW w:w="3960" w:type="dxa"/>
            <w:gridSpan w:val="2"/>
            <w:vMerge/>
            <w:tcBorders>
              <w:top w:val="single" w:sz="4" w:space="0" w:color="auto"/>
              <w:left w:val="single" w:sz="4" w:space="0" w:color="auto"/>
              <w:bottom w:val="single" w:sz="4" w:space="0" w:color="000000"/>
              <w:right w:val="single" w:sz="4" w:space="0" w:color="000000"/>
            </w:tcBorders>
            <w:vAlign w:val="center"/>
            <w:hideMark/>
          </w:tcPr>
          <w:p w:rsidR="00EA397A" w:rsidRPr="00274EF6" w:rsidRDefault="00EA397A" w:rsidP="00341DF3">
            <w:pPr>
              <w:spacing w:after="0" w:line="240" w:lineRule="auto"/>
              <w:rPr>
                <w:rFonts w:ascii="Times New Roman" w:eastAsia="Times New Roman" w:hAnsi="Times New Roman" w:cs="Times New Roman"/>
                <w:b/>
                <w:bCs/>
                <w:color w:val="000000"/>
              </w:rPr>
            </w:pPr>
          </w:p>
        </w:tc>
        <w:tc>
          <w:tcPr>
            <w:tcW w:w="11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rPr>
                <w:rFonts w:ascii="Times New Roman" w:eastAsia="Times New Roman" w:hAnsi="Times New Roman" w:cs="Times New Roman"/>
                <w:color w:val="000000"/>
              </w:rPr>
            </w:pPr>
            <w:r w:rsidRPr="00274EF6">
              <w:rPr>
                <w:rFonts w:ascii="Times New Roman" w:eastAsia="Times New Roman" w:hAnsi="Times New Roman"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rPr>
                <w:rFonts w:ascii="Times New Roman" w:eastAsia="Times New Roman" w:hAnsi="Times New Roman" w:cs="Times New Roman"/>
                <w:color w:val="000000"/>
              </w:rPr>
            </w:pPr>
            <w:r w:rsidRPr="00274EF6">
              <w:rPr>
                <w:rFonts w:ascii="Times New Roman" w:eastAsia="Times New Roman" w:hAnsi="Times New Roman" w:cs="Times New Roman"/>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rPr>
                <w:rFonts w:ascii="Times New Roman" w:eastAsia="Times New Roman" w:hAnsi="Times New Roman" w:cs="Times New Roman"/>
                <w:color w:val="000000"/>
              </w:rPr>
            </w:pPr>
            <w:r w:rsidRPr="00274EF6">
              <w:rPr>
                <w:rFonts w:ascii="Times New Roman" w:eastAsia="Times New Roman" w:hAnsi="Times New Roman" w:cs="Times New Roman"/>
                <w:color w:val="000000"/>
              </w:rPr>
              <w:t> </w:t>
            </w:r>
          </w:p>
        </w:tc>
      </w:tr>
      <w:tr w:rsidR="00EA397A" w:rsidRPr="00274EF6" w:rsidTr="00341DF3">
        <w:trPr>
          <w:trHeight w:val="300"/>
        </w:trPr>
        <w:tc>
          <w:tcPr>
            <w:tcW w:w="39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A397A" w:rsidRPr="00274EF6" w:rsidRDefault="00EA397A" w:rsidP="00341DF3">
            <w:pPr>
              <w:spacing w:after="0" w:line="240" w:lineRule="auto"/>
              <w:rPr>
                <w:rFonts w:ascii="Times New Roman" w:eastAsia="Times New Roman" w:hAnsi="Times New Roman" w:cs="Times New Roman"/>
                <w:color w:val="000000"/>
              </w:rPr>
            </w:pPr>
            <w:r w:rsidRPr="00274EF6">
              <w:rPr>
                <w:rFonts w:ascii="Times New Roman" w:eastAsia="Times New Roman" w:hAnsi="Times New Roman" w:cs="Times New Roman"/>
                <w:color w:val="000000"/>
              </w:rPr>
              <w:t>t-test</w:t>
            </w:r>
          </w:p>
        </w:tc>
        <w:tc>
          <w:tcPr>
            <w:tcW w:w="11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20</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5.408382</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0.0000</w:t>
            </w:r>
          </w:p>
        </w:tc>
      </w:tr>
      <w:tr w:rsidR="00EA397A" w:rsidRPr="00274EF6" w:rsidTr="00341DF3">
        <w:trPr>
          <w:trHeight w:val="300"/>
        </w:trPr>
        <w:tc>
          <w:tcPr>
            <w:tcW w:w="39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A397A" w:rsidRPr="00274EF6" w:rsidRDefault="00EA397A" w:rsidP="00341DF3">
            <w:pPr>
              <w:spacing w:after="0" w:line="240" w:lineRule="auto"/>
              <w:rPr>
                <w:rFonts w:ascii="Times New Roman" w:eastAsia="Times New Roman" w:hAnsi="Times New Roman" w:cs="Times New Roman"/>
                <w:color w:val="000000"/>
              </w:rPr>
            </w:pPr>
            <w:r w:rsidRPr="00274EF6">
              <w:rPr>
                <w:rFonts w:ascii="Times New Roman" w:eastAsia="Times New Roman" w:hAnsi="Times New Roman" w:cs="Times New Roman"/>
                <w:color w:val="000000"/>
              </w:rPr>
              <w:t>Satterthwaite-Welch t-test*</w:t>
            </w:r>
          </w:p>
        </w:tc>
        <w:tc>
          <w:tcPr>
            <w:tcW w:w="11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16.12038</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5.408382</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0.0001</w:t>
            </w:r>
          </w:p>
        </w:tc>
      </w:tr>
      <w:tr w:rsidR="00EA397A" w:rsidRPr="00274EF6" w:rsidTr="00341DF3">
        <w:trPr>
          <w:trHeight w:val="300"/>
        </w:trPr>
        <w:tc>
          <w:tcPr>
            <w:tcW w:w="39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A397A" w:rsidRPr="00274EF6" w:rsidRDefault="00EA397A" w:rsidP="00341DF3">
            <w:pPr>
              <w:spacing w:after="0" w:line="240" w:lineRule="auto"/>
              <w:rPr>
                <w:rFonts w:ascii="Times New Roman" w:eastAsia="Times New Roman" w:hAnsi="Times New Roman" w:cs="Times New Roman"/>
                <w:color w:val="000000"/>
              </w:rPr>
            </w:pPr>
            <w:r w:rsidRPr="00274EF6">
              <w:rPr>
                <w:rFonts w:ascii="Times New Roman" w:eastAsia="Times New Roman" w:hAnsi="Times New Roman" w:cs="Times New Roman"/>
                <w:color w:val="000000"/>
              </w:rPr>
              <w:t>Anova F-test</w:t>
            </w:r>
          </w:p>
        </w:tc>
        <w:tc>
          <w:tcPr>
            <w:tcW w:w="11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(1, 20)</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29.2506</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0.0000</w:t>
            </w:r>
          </w:p>
        </w:tc>
      </w:tr>
      <w:tr w:rsidR="00EA397A" w:rsidRPr="00274EF6" w:rsidTr="00341DF3">
        <w:trPr>
          <w:trHeight w:val="300"/>
        </w:trPr>
        <w:tc>
          <w:tcPr>
            <w:tcW w:w="39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A397A" w:rsidRPr="00274EF6" w:rsidRDefault="00EA397A" w:rsidP="00341DF3">
            <w:pPr>
              <w:spacing w:after="0" w:line="240" w:lineRule="auto"/>
              <w:rPr>
                <w:rFonts w:ascii="Times New Roman" w:eastAsia="Times New Roman" w:hAnsi="Times New Roman" w:cs="Times New Roman"/>
                <w:color w:val="000000"/>
              </w:rPr>
            </w:pPr>
            <w:r w:rsidRPr="00274EF6">
              <w:rPr>
                <w:rFonts w:ascii="Times New Roman" w:eastAsia="Times New Roman" w:hAnsi="Times New Roman" w:cs="Times New Roman"/>
                <w:color w:val="000000"/>
              </w:rPr>
              <w:t>Welch F-test*</w:t>
            </w:r>
          </w:p>
        </w:tc>
        <w:tc>
          <w:tcPr>
            <w:tcW w:w="11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w:t>
            </w:r>
            <w:r w:rsidRPr="00274EF6">
              <w:rPr>
                <w:rFonts w:ascii="Times New Roman" w:eastAsia="Times New Roman" w:hAnsi="Times New Roman" w:cs="Times New Roman"/>
                <w:color w:val="000000"/>
              </w:rPr>
              <w:t>16.1204)</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29.2506</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0.0001</w:t>
            </w:r>
          </w:p>
        </w:tc>
      </w:tr>
      <w:tr w:rsidR="00EA397A" w:rsidRPr="00274EF6" w:rsidTr="00341DF3">
        <w:trPr>
          <w:trHeight w:val="300"/>
        </w:trPr>
        <w:tc>
          <w:tcPr>
            <w:tcW w:w="1989" w:type="dxa"/>
            <w:tcBorders>
              <w:top w:val="nil"/>
              <w:left w:val="nil"/>
              <w:bottom w:val="nil"/>
              <w:right w:val="nil"/>
            </w:tcBorders>
            <w:shd w:val="clear" w:color="auto" w:fill="auto"/>
            <w:noWrap/>
            <w:vAlign w:val="bottom"/>
            <w:hideMark/>
          </w:tcPr>
          <w:p w:rsidR="00D05ABD" w:rsidRDefault="00D05ABD" w:rsidP="00D05ABD">
            <w:pPr>
              <w:spacing w:after="0" w:line="240" w:lineRule="auto"/>
              <w:rPr>
                <w:rFonts w:ascii="Times New Roman" w:eastAsia="Times New Roman" w:hAnsi="Times New Roman" w:cs="Times New Roman"/>
                <w:color w:val="000000"/>
              </w:rPr>
            </w:pPr>
          </w:p>
          <w:p w:rsidR="00D05ABD" w:rsidRPr="00274EF6" w:rsidRDefault="00D05ABD" w:rsidP="00341DF3">
            <w:pPr>
              <w:spacing w:after="0" w:line="240" w:lineRule="auto"/>
              <w:jc w:val="right"/>
              <w:rPr>
                <w:rFonts w:ascii="Times New Roman" w:eastAsia="Times New Roman" w:hAnsi="Times New Roman" w:cs="Times New Roman"/>
                <w:color w:val="000000"/>
              </w:rPr>
            </w:pPr>
          </w:p>
        </w:tc>
        <w:tc>
          <w:tcPr>
            <w:tcW w:w="1971" w:type="dxa"/>
            <w:tcBorders>
              <w:top w:val="nil"/>
              <w:left w:val="nil"/>
              <w:bottom w:val="nil"/>
              <w:right w:val="nil"/>
            </w:tcBorders>
            <w:shd w:val="clear" w:color="auto" w:fill="auto"/>
            <w:noWrap/>
            <w:vAlign w:val="bottom"/>
            <w:hideMark/>
          </w:tcPr>
          <w:p w:rsidR="00EA397A" w:rsidRPr="00274EF6" w:rsidRDefault="00EA397A" w:rsidP="00341DF3">
            <w:pPr>
              <w:spacing w:after="0" w:line="240" w:lineRule="auto"/>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vAlign w:val="bottom"/>
            <w:hideMark/>
          </w:tcPr>
          <w:p w:rsidR="00EA397A" w:rsidRPr="00274EF6" w:rsidRDefault="00EA397A" w:rsidP="00341DF3">
            <w:pPr>
              <w:spacing w:after="0" w:line="240" w:lineRule="auto"/>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rsidR="00EA397A" w:rsidRPr="00274EF6" w:rsidRDefault="00EA397A" w:rsidP="00341DF3">
            <w:pPr>
              <w:spacing w:after="0" w:line="240" w:lineRule="auto"/>
              <w:rPr>
                <w:rFonts w:ascii="Times New Roman" w:eastAsia="Times New Roman" w:hAnsi="Times New Roman" w:cs="Times New Roman"/>
                <w:sz w:val="20"/>
                <w:szCs w:val="20"/>
              </w:rPr>
            </w:pPr>
          </w:p>
        </w:tc>
        <w:tc>
          <w:tcPr>
            <w:tcW w:w="1420" w:type="dxa"/>
            <w:tcBorders>
              <w:top w:val="nil"/>
              <w:left w:val="nil"/>
              <w:bottom w:val="nil"/>
              <w:right w:val="nil"/>
            </w:tcBorders>
            <w:shd w:val="clear" w:color="auto" w:fill="auto"/>
            <w:noWrap/>
            <w:vAlign w:val="bottom"/>
            <w:hideMark/>
          </w:tcPr>
          <w:p w:rsidR="00EA397A" w:rsidRPr="00274EF6" w:rsidRDefault="00EA397A" w:rsidP="00341DF3">
            <w:pPr>
              <w:spacing w:after="0" w:line="240" w:lineRule="auto"/>
              <w:rPr>
                <w:rFonts w:ascii="Times New Roman" w:eastAsia="Times New Roman" w:hAnsi="Times New Roman" w:cs="Times New Roman"/>
                <w:sz w:val="20"/>
                <w:szCs w:val="20"/>
              </w:rPr>
            </w:pPr>
          </w:p>
        </w:tc>
      </w:tr>
      <w:tr w:rsidR="00EA397A" w:rsidRPr="00274EF6" w:rsidTr="00341DF3">
        <w:trPr>
          <w:trHeight w:val="300"/>
        </w:trPr>
        <w:tc>
          <w:tcPr>
            <w:tcW w:w="1989"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lastRenderedPageBreak/>
              <w:t>Variable</w:t>
            </w:r>
          </w:p>
        </w:tc>
        <w:tc>
          <w:tcPr>
            <w:tcW w:w="1971"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Observations</w:t>
            </w:r>
          </w:p>
        </w:tc>
        <w:tc>
          <w:tcPr>
            <w:tcW w:w="11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Mean</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Std. Dev.</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A397A" w:rsidRPr="00274EF6" w:rsidRDefault="00EA397A" w:rsidP="00341DF3">
            <w:pPr>
              <w:spacing w:after="0" w:line="240" w:lineRule="auto"/>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Std. Err. Of Mean</w:t>
            </w:r>
          </w:p>
        </w:tc>
      </w:tr>
      <w:tr w:rsidR="00EA397A" w:rsidRPr="00274EF6" w:rsidTr="00341DF3">
        <w:trPr>
          <w:trHeight w:val="450"/>
        </w:trPr>
        <w:tc>
          <w:tcPr>
            <w:tcW w:w="1989" w:type="dxa"/>
            <w:vMerge/>
            <w:tcBorders>
              <w:top w:val="single" w:sz="4" w:space="0" w:color="auto"/>
              <w:left w:val="single" w:sz="4" w:space="0" w:color="auto"/>
              <w:bottom w:val="single" w:sz="4" w:space="0" w:color="auto"/>
              <w:right w:val="single" w:sz="4" w:space="0" w:color="auto"/>
            </w:tcBorders>
            <w:vAlign w:val="center"/>
            <w:hideMark/>
          </w:tcPr>
          <w:p w:rsidR="00EA397A" w:rsidRPr="00274EF6" w:rsidRDefault="00EA397A" w:rsidP="00341DF3">
            <w:pPr>
              <w:spacing w:after="0" w:line="240" w:lineRule="auto"/>
              <w:rPr>
                <w:rFonts w:ascii="Times New Roman" w:eastAsia="Times New Roman" w:hAnsi="Times New Roman" w:cs="Times New Roman"/>
                <w:b/>
                <w:bCs/>
                <w:color w:val="000000"/>
              </w:rPr>
            </w:pPr>
          </w:p>
        </w:tc>
        <w:tc>
          <w:tcPr>
            <w:tcW w:w="1971" w:type="dxa"/>
            <w:vMerge/>
            <w:tcBorders>
              <w:top w:val="single" w:sz="4" w:space="0" w:color="auto"/>
              <w:left w:val="single" w:sz="4" w:space="0" w:color="auto"/>
              <w:bottom w:val="single" w:sz="4" w:space="0" w:color="auto"/>
              <w:right w:val="single" w:sz="4" w:space="0" w:color="auto"/>
            </w:tcBorders>
            <w:vAlign w:val="center"/>
            <w:hideMark/>
          </w:tcPr>
          <w:p w:rsidR="00EA397A" w:rsidRPr="00274EF6" w:rsidRDefault="00EA397A" w:rsidP="00341DF3">
            <w:pPr>
              <w:spacing w:after="0" w:line="240" w:lineRule="auto"/>
              <w:rPr>
                <w:rFonts w:ascii="Times New Roman" w:eastAsia="Times New Roman" w:hAnsi="Times New Roman" w:cs="Times New Roman"/>
                <w:b/>
                <w:bCs/>
                <w:color w:val="000000"/>
              </w:rPr>
            </w:pPr>
          </w:p>
        </w:tc>
        <w:tc>
          <w:tcPr>
            <w:tcW w:w="1160" w:type="dxa"/>
            <w:vMerge/>
            <w:tcBorders>
              <w:top w:val="single" w:sz="4" w:space="0" w:color="auto"/>
              <w:left w:val="single" w:sz="4" w:space="0" w:color="auto"/>
              <w:bottom w:val="single" w:sz="4" w:space="0" w:color="auto"/>
              <w:right w:val="single" w:sz="4" w:space="0" w:color="auto"/>
            </w:tcBorders>
            <w:vAlign w:val="center"/>
            <w:hideMark/>
          </w:tcPr>
          <w:p w:rsidR="00EA397A" w:rsidRPr="00274EF6" w:rsidRDefault="00EA397A" w:rsidP="00341DF3">
            <w:pPr>
              <w:spacing w:after="0" w:line="240" w:lineRule="auto"/>
              <w:rPr>
                <w:rFonts w:ascii="Times New Roman" w:eastAsia="Times New Roman" w:hAnsi="Times New Roman" w:cs="Times New Roman"/>
                <w:b/>
                <w:bCs/>
                <w:color w:val="00000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EA397A" w:rsidRPr="00274EF6" w:rsidRDefault="00EA397A" w:rsidP="00341DF3">
            <w:pPr>
              <w:spacing w:after="0" w:line="240" w:lineRule="auto"/>
              <w:rPr>
                <w:rFonts w:ascii="Times New Roman" w:eastAsia="Times New Roman" w:hAnsi="Times New Roman" w:cs="Times New Roman"/>
                <w:b/>
                <w:bCs/>
                <w:color w:val="000000"/>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EA397A" w:rsidRPr="00274EF6" w:rsidRDefault="00EA397A" w:rsidP="00341DF3">
            <w:pPr>
              <w:spacing w:after="0" w:line="240" w:lineRule="auto"/>
              <w:rPr>
                <w:rFonts w:ascii="Times New Roman" w:eastAsia="Times New Roman" w:hAnsi="Times New Roman" w:cs="Times New Roman"/>
                <w:b/>
                <w:bCs/>
                <w:color w:val="000000"/>
              </w:rPr>
            </w:pPr>
          </w:p>
        </w:tc>
      </w:tr>
      <w:tr w:rsidR="00EA397A" w:rsidRPr="00274EF6" w:rsidTr="00341DF3">
        <w:trPr>
          <w:trHeight w:val="300"/>
        </w:trPr>
        <w:tc>
          <w:tcPr>
            <w:tcW w:w="1989" w:type="dxa"/>
            <w:tcBorders>
              <w:top w:val="nil"/>
              <w:left w:val="single" w:sz="4" w:space="0" w:color="auto"/>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rPr>
                <w:rFonts w:ascii="Times New Roman" w:eastAsia="Times New Roman" w:hAnsi="Times New Roman" w:cs="Times New Roman"/>
                <w:color w:val="000000"/>
              </w:rPr>
            </w:pPr>
            <w:r w:rsidRPr="00274EF6">
              <w:rPr>
                <w:rFonts w:ascii="Times New Roman" w:eastAsia="Times New Roman" w:hAnsi="Times New Roman" w:cs="Times New Roman"/>
                <w:color w:val="000000"/>
              </w:rPr>
              <w:t>ALPHA_FL</w:t>
            </w:r>
          </w:p>
        </w:tc>
        <w:tc>
          <w:tcPr>
            <w:tcW w:w="1971"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11</w:t>
            </w:r>
          </w:p>
        </w:tc>
        <w:tc>
          <w:tcPr>
            <w:tcW w:w="11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6.183864</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2.57618</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0.776748</w:t>
            </w:r>
          </w:p>
        </w:tc>
      </w:tr>
      <w:tr w:rsidR="00EA397A" w:rsidRPr="00274EF6" w:rsidTr="00341DF3">
        <w:trPr>
          <w:trHeight w:val="300"/>
        </w:trPr>
        <w:tc>
          <w:tcPr>
            <w:tcW w:w="1989" w:type="dxa"/>
            <w:tcBorders>
              <w:top w:val="nil"/>
              <w:left w:val="single" w:sz="4" w:space="0" w:color="auto"/>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rPr>
                <w:rFonts w:ascii="Times New Roman" w:eastAsia="Times New Roman" w:hAnsi="Times New Roman" w:cs="Times New Roman"/>
                <w:color w:val="000000"/>
              </w:rPr>
            </w:pPr>
            <w:r w:rsidRPr="00274EF6">
              <w:rPr>
                <w:rFonts w:ascii="Times New Roman" w:eastAsia="Times New Roman" w:hAnsi="Times New Roman" w:cs="Times New Roman"/>
                <w:color w:val="000000"/>
              </w:rPr>
              <w:t>ALPHA_NFL</w:t>
            </w:r>
          </w:p>
        </w:tc>
        <w:tc>
          <w:tcPr>
            <w:tcW w:w="1971"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11</w:t>
            </w:r>
          </w:p>
        </w:tc>
        <w:tc>
          <w:tcPr>
            <w:tcW w:w="11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1.317718</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1.506046</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0.45409</w:t>
            </w:r>
          </w:p>
        </w:tc>
      </w:tr>
      <w:tr w:rsidR="00EA397A" w:rsidRPr="00274EF6" w:rsidTr="00341DF3">
        <w:trPr>
          <w:trHeight w:val="300"/>
        </w:trPr>
        <w:tc>
          <w:tcPr>
            <w:tcW w:w="1989" w:type="dxa"/>
            <w:tcBorders>
              <w:top w:val="nil"/>
              <w:left w:val="single" w:sz="4" w:space="0" w:color="auto"/>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rPr>
                <w:rFonts w:ascii="Times New Roman" w:eastAsia="Times New Roman" w:hAnsi="Times New Roman" w:cs="Times New Roman"/>
                <w:color w:val="000000"/>
              </w:rPr>
            </w:pPr>
            <w:r w:rsidRPr="00274EF6">
              <w:rPr>
                <w:rFonts w:ascii="Times New Roman" w:eastAsia="Times New Roman" w:hAnsi="Times New Roman" w:cs="Times New Roman"/>
                <w:color w:val="000000"/>
              </w:rPr>
              <w:t>All</w:t>
            </w:r>
          </w:p>
        </w:tc>
        <w:tc>
          <w:tcPr>
            <w:tcW w:w="1971"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22</w:t>
            </w:r>
          </w:p>
        </w:tc>
        <w:tc>
          <w:tcPr>
            <w:tcW w:w="11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3.750791</w:t>
            </w:r>
          </w:p>
        </w:tc>
        <w:tc>
          <w:tcPr>
            <w:tcW w:w="126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3.231433</w:t>
            </w:r>
          </w:p>
        </w:tc>
        <w:tc>
          <w:tcPr>
            <w:tcW w:w="1420" w:type="dxa"/>
            <w:tcBorders>
              <w:top w:val="nil"/>
              <w:left w:val="nil"/>
              <w:bottom w:val="single" w:sz="4" w:space="0" w:color="auto"/>
              <w:right w:val="single" w:sz="4" w:space="0" w:color="auto"/>
            </w:tcBorders>
            <w:shd w:val="clear" w:color="auto" w:fill="auto"/>
            <w:noWrap/>
            <w:vAlign w:val="bottom"/>
            <w:hideMark/>
          </w:tcPr>
          <w:p w:rsidR="00EA397A" w:rsidRPr="00274EF6" w:rsidRDefault="00EA397A" w:rsidP="00341DF3">
            <w:pPr>
              <w:spacing w:after="0" w:line="240" w:lineRule="auto"/>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0.688944</w:t>
            </w:r>
          </w:p>
        </w:tc>
      </w:tr>
    </w:tbl>
    <w:p w:rsidR="00EA397A" w:rsidRDefault="00EA397A" w:rsidP="00EA397A">
      <w:pPr>
        <w:tabs>
          <w:tab w:val="left" w:pos="1650"/>
        </w:tabs>
        <w:spacing w:before="240" w:line="480" w:lineRule="auto"/>
        <w:jc w:val="both"/>
        <w:rPr>
          <w:rFonts w:ascii="Times New Roman" w:eastAsia="Times New Roman" w:hAnsi="Times New Roman" w:cs="Times New Roman"/>
          <w:color w:val="000000"/>
          <w:sz w:val="24"/>
          <w:szCs w:val="24"/>
        </w:rPr>
      </w:pPr>
      <w:r w:rsidRPr="00EB2659">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result of t-tests in </w:t>
      </w:r>
      <w:r w:rsidRPr="00EB2659">
        <w:rPr>
          <w:rFonts w:ascii="Times New Roman" w:hAnsi="Times New Roman" w:cs="Times New Roman"/>
          <w:color w:val="000000" w:themeColor="text1"/>
          <w:sz w:val="24"/>
          <w:szCs w:val="24"/>
        </w:rPr>
        <w:t>ta</w:t>
      </w:r>
      <w:r w:rsidR="00D30885">
        <w:rPr>
          <w:rFonts w:ascii="Times New Roman" w:hAnsi="Times New Roman" w:cs="Times New Roman"/>
          <w:color w:val="000000" w:themeColor="text1"/>
          <w:sz w:val="24"/>
          <w:szCs w:val="24"/>
        </w:rPr>
        <w:t>ble 17</w:t>
      </w:r>
      <w:r w:rsidRPr="00EB2659">
        <w:rPr>
          <w:rFonts w:ascii="Times New Roman" w:hAnsi="Times New Roman" w:cs="Times New Roman"/>
          <w:color w:val="000000" w:themeColor="text1"/>
          <w:sz w:val="24"/>
          <w:szCs w:val="24"/>
        </w:rPr>
        <w:t xml:space="preserve"> indicates that there is a significant difference in means of alpha for Portfolio_FL (M = </w:t>
      </w:r>
      <w:r w:rsidRPr="00EB2659">
        <w:rPr>
          <w:rFonts w:ascii="Times New Roman" w:eastAsia="Times New Roman" w:hAnsi="Times New Roman" w:cs="Times New Roman"/>
          <w:color w:val="000000"/>
          <w:sz w:val="24"/>
          <w:szCs w:val="24"/>
        </w:rPr>
        <w:t>-0.31757, SD = 0.129181) and Portfolio_NFL (</w:t>
      </w:r>
      <w:r w:rsidRPr="00EB2659">
        <w:rPr>
          <w:rFonts w:ascii="Times New Roman" w:hAnsi="Times New Roman" w:cs="Times New Roman"/>
          <w:color w:val="000000" w:themeColor="text1"/>
          <w:sz w:val="24"/>
          <w:szCs w:val="24"/>
        </w:rPr>
        <w:t xml:space="preserve">M = </w:t>
      </w:r>
      <w:r w:rsidRPr="00EB2659">
        <w:rPr>
          <w:rFonts w:ascii="Times New Roman" w:eastAsia="Times New Roman" w:hAnsi="Times New Roman" w:cs="Times New Roman"/>
          <w:color w:val="000000"/>
          <w:sz w:val="24"/>
          <w:szCs w:val="24"/>
        </w:rPr>
        <w:t>0.717166, SD = 0.064389).</w:t>
      </w:r>
      <w:r w:rsidR="00D30885">
        <w:rPr>
          <w:rFonts w:ascii="Times New Roman" w:eastAsia="Times New Roman" w:hAnsi="Times New Roman" w:cs="Times New Roman"/>
          <w:color w:val="000000"/>
          <w:sz w:val="24"/>
          <w:szCs w:val="24"/>
        </w:rPr>
        <w:t xml:space="preserve"> Whereas, table 18</w:t>
      </w:r>
      <w:r>
        <w:rPr>
          <w:rFonts w:ascii="Times New Roman" w:eastAsia="Times New Roman" w:hAnsi="Times New Roman" w:cs="Times New Roman"/>
          <w:color w:val="000000"/>
          <w:sz w:val="24"/>
          <w:szCs w:val="24"/>
        </w:rPr>
        <w:t>indicates the mean</w:t>
      </w:r>
      <w:r w:rsidR="002D68C1">
        <w:rPr>
          <w:rFonts w:ascii="Times New Roman" w:eastAsia="Times New Roman" w:hAnsi="Times New Roman" w:cs="Times New Roman"/>
          <w:color w:val="000000"/>
          <w:sz w:val="24"/>
          <w:szCs w:val="24"/>
        </w:rPr>
        <w:t>s difference for multiple f</w:t>
      </w:r>
      <w:r>
        <w:rPr>
          <w:rFonts w:ascii="Times New Roman" w:eastAsia="Times New Roman" w:hAnsi="Times New Roman" w:cs="Times New Roman"/>
          <w:color w:val="000000"/>
          <w:sz w:val="24"/>
          <w:szCs w:val="24"/>
        </w:rPr>
        <w:t>actor model. We can see that there is again a significant difference in means of alpha for</w:t>
      </w:r>
      <w:r w:rsidRPr="00EB2659">
        <w:rPr>
          <w:rFonts w:ascii="Times New Roman" w:hAnsi="Times New Roman" w:cs="Times New Roman"/>
          <w:color w:val="000000" w:themeColor="text1"/>
          <w:sz w:val="24"/>
          <w:szCs w:val="24"/>
        </w:rPr>
        <w:t xml:space="preserve">Portfolio_FL (M = </w:t>
      </w:r>
      <w:r w:rsidRPr="00FE77BA">
        <w:rPr>
          <w:rFonts w:ascii="Times New Roman" w:eastAsia="Times New Roman" w:hAnsi="Times New Roman" w:cs="Times New Roman"/>
          <w:color w:val="000000"/>
          <w:sz w:val="24"/>
          <w:szCs w:val="24"/>
        </w:rPr>
        <w:t>6.183864</w:t>
      </w:r>
      <w:r>
        <w:rPr>
          <w:rFonts w:ascii="Times New Roman" w:eastAsia="Times New Roman" w:hAnsi="Times New Roman" w:cs="Times New Roman"/>
          <w:color w:val="000000"/>
          <w:sz w:val="24"/>
          <w:szCs w:val="24"/>
        </w:rPr>
        <w:t xml:space="preserve">, </w:t>
      </w:r>
      <w:r w:rsidRPr="00D05ABD">
        <w:rPr>
          <w:rFonts w:ascii="Times New Roman" w:eastAsia="Times New Roman" w:hAnsi="Times New Roman" w:cs="Times New Roman"/>
          <w:color w:val="000000" w:themeColor="text1"/>
          <w:sz w:val="24"/>
          <w:szCs w:val="24"/>
        </w:rPr>
        <w:t>SD = 2.57618</w:t>
      </w:r>
      <w:r w:rsidRPr="00EB2659">
        <w:rPr>
          <w:rFonts w:ascii="Times New Roman" w:eastAsia="Times New Roman" w:hAnsi="Times New Roman" w:cs="Times New Roman"/>
          <w:color w:val="000000"/>
          <w:sz w:val="24"/>
          <w:szCs w:val="24"/>
        </w:rPr>
        <w:t>) and Portfolio_NFL (</w:t>
      </w:r>
      <w:r w:rsidRPr="00EB2659">
        <w:rPr>
          <w:rFonts w:ascii="Times New Roman" w:hAnsi="Times New Roman" w:cs="Times New Roman"/>
          <w:color w:val="000000" w:themeColor="text1"/>
          <w:sz w:val="24"/>
          <w:szCs w:val="24"/>
        </w:rPr>
        <w:t xml:space="preserve">M = </w:t>
      </w:r>
      <w:r w:rsidRPr="00FE77BA">
        <w:rPr>
          <w:rFonts w:ascii="Times New Roman" w:eastAsia="Times New Roman" w:hAnsi="Times New Roman" w:cs="Times New Roman"/>
          <w:color w:val="000000"/>
          <w:sz w:val="24"/>
          <w:szCs w:val="24"/>
        </w:rPr>
        <w:t>1.317718</w:t>
      </w:r>
      <w:r w:rsidRPr="00EB2659">
        <w:rPr>
          <w:rFonts w:ascii="Times New Roman" w:eastAsia="Times New Roman" w:hAnsi="Times New Roman" w:cs="Times New Roman"/>
          <w:color w:val="000000"/>
          <w:sz w:val="24"/>
          <w:szCs w:val="24"/>
        </w:rPr>
        <w:t xml:space="preserve">, SD = </w:t>
      </w:r>
      <w:r w:rsidRPr="00FD22AF">
        <w:rPr>
          <w:rFonts w:ascii="Times New Roman" w:eastAsia="Times New Roman" w:hAnsi="Times New Roman" w:cs="Times New Roman"/>
          <w:color w:val="000000"/>
          <w:sz w:val="24"/>
          <w:szCs w:val="24"/>
        </w:rPr>
        <w:t>1.506046</w:t>
      </w:r>
      <w:r w:rsidRPr="00EB265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It means we are able to reject null hypothesis (H</w:t>
      </w:r>
      <w:r>
        <w:rPr>
          <w:rFonts w:ascii="Times New Roman" w:eastAsia="Times New Roman" w:hAnsi="Times New Roman" w:cs="Times New Roman"/>
          <w:color w:val="000000"/>
          <w:sz w:val="24"/>
          <w:szCs w:val="24"/>
          <w:vertAlign w:val="subscript"/>
        </w:rPr>
        <w:t xml:space="preserve">0 </w:t>
      </w:r>
      <w:r w:rsidRPr="001041D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Means of both groups are equal) and it’s apparent from our results that the market is not efficient as the means of alpha of futures listed stocks and non-futures listed stocks are not equal. </w:t>
      </w:r>
    </w:p>
    <w:p w:rsidR="0059501E" w:rsidRDefault="00D05ABD" w:rsidP="006A1347">
      <w:pPr>
        <w:tabs>
          <w:tab w:val="left" w:pos="1650"/>
        </w:tabs>
        <w:spacing w:before="24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w:t>
      </w:r>
      <w:r w:rsidR="005A4964">
        <w:rPr>
          <w:rFonts w:ascii="Times New Roman" w:eastAsia="Times New Roman" w:hAnsi="Times New Roman" w:cs="Times New Roman"/>
          <w:color w:val="000000"/>
          <w:sz w:val="24"/>
          <w:szCs w:val="24"/>
        </w:rPr>
        <w:t>w, by analyzing</w:t>
      </w:r>
      <w:r>
        <w:rPr>
          <w:rFonts w:ascii="Times New Roman" w:eastAsia="Times New Roman" w:hAnsi="Times New Roman" w:cs="Times New Roman"/>
          <w:color w:val="000000"/>
          <w:sz w:val="24"/>
          <w:szCs w:val="24"/>
        </w:rPr>
        <w:t xml:space="preserve"> the tests of</w:t>
      </w:r>
      <w:r w:rsidR="004B64F2">
        <w:rPr>
          <w:rFonts w:ascii="Times New Roman" w:eastAsia="Times New Roman" w:hAnsi="Times New Roman" w:cs="Times New Roman"/>
          <w:color w:val="000000"/>
          <w:sz w:val="24"/>
          <w:szCs w:val="24"/>
        </w:rPr>
        <w:t xml:space="preserve"> equality of means for </w:t>
      </w:r>
      <w:r w:rsidR="007D3791">
        <w:rPr>
          <w:rFonts w:ascii="Times New Roman" w:eastAsia="Times New Roman" w:hAnsi="Times New Roman" w:cs="Times New Roman"/>
          <w:color w:val="000000"/>
          <w:sz w:val="24"/>
          <w:szCs w:val="24"/>
        </w:rPr>
        <w:t>symmetric volatility (conditional standard deviation) using CAPM and Multiple Factor Model</w:t>
      </w:r>
      <w:r>
        <w:rPr>
          <w:rFonts w:ascii="Times New Roman" w:eastAsia="Times New Roman" w:hAnsi="Times New Roman" w:cs="Times New Roman"/>
          <w:color w:val="000000"/>
          <w:sz w:val="24"/>
          <w:szCs w:val="24"/>
        </w:rPr>
        <w:t xml:space="preserve">, we can assess the impact of futures listing on the volatility of underlying stock returns. </w:t>
      </w:r>
      <w:r w:rsidR="00DE2A47">
        <w:rPr>
          <w:rFonts w:ascii="Times New Roman" w:eastAsia="Times New Roman" w:hAnsi="Times New Roman" w:cs="Times New Roman"/>
          <w:color w:val="000000"/>
          <w:sz w:val="24"/>
          <w:szCs w:val="24"/>
        </w:rPr>
        <w:t xml:space="preserve">Table </w:t>
      </w:r>
      <w:r w:rsidR="00D30885">
        <w:rPr>
          <w:rFonts w:ascii="Times New Roman" w:eastAsia="Times New Roman" w:hAnsi="Times New Roman" w:cs="Times New Roman"/>
          <w:color w:val="000000"/>
          <w:sz w:val="24"/>
          <w:szCs w:val="24"/>
        </w:rPr>
        <w:t>19 and 20</w:t>
      </w:r>
      <w:r w:rsidR="008862B5">
        <w:rPr>
          <w:rFonts w:ascii="Times New Roman" w:eastAsia="Times New Roman" w:hAnsi="Times New Roman" w:cs="Times New Roman"/>
          <w:color w:val="000000"/>
          <w:sz w:val="24"/>
          <w:szCs w:val="24"/>
        </w:rPr>
        <w:t xml:space="preserve"> display the results. </w:t>
      </w:r>
    </w:p>
    <w:p w:rsidR="007D3791" w:rsidRPr="007D3791" w:rsidRDefault="00D30885" w:rsidP="006A1347">
      <w:pPr>
        <w:tabs>
          <w:tab w:val="left" w:pos="1650"/>
        </w:tabs>
        <w:spacing w:before="24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Table 19</w:t>
      </w:r>
      <w:r w:rsidR="007D3791" w:rsidRPr="007D3791">
        <w:rPr>
          <w:rFonts w:ascii="Times New Roman" w:eastAsia="Times New Roman" w:hAnsi="Times New Roman" w:cs="Times New Roman"/>
          <w:b/>
          <w:color w:val="000000"/>
          <w:sz w:val="24"/>
          <w:szCs w:val="24"/>
        </w:rPr>
        <w:t xml:space="preserve">:Equality for Means of </w:t>
      </w:r>
      <w:r w:rsidR="007D3791">
        <w:rPr>
          <w:rFonts w:ascii="Times New Roman" w:eastAsia="Times New Roman" w:hAnsi="Times New Roman" w:cs="Times New Roman"/>
          <w:b/>
          <w:color w:val="000000"/>
          <w:sz w:val="24"/>
          <w:szCs w:val="24"/>
        </w:rPr>
        <w:t xml:space="preserve">Symmetric Volatility using CAPM </w:t>
      </w:r>
    </w:p>
    <w:tbl>
      <w:tblPr>
        <w:tblStyle w:val="TableGrid"/>
        <w:tblW w:w="7883" w:type="dxa"/>
        <w:tblLook w:val="04A0"/>
      </w:tblPr>
      <w:tblGrid>
        <w:gridCol w:w="1989"/>
        <w:gridCol w:w="1971"/>
        <w:gridCol w:w="1243"/>
        <w:gridCol w:w="1260"/>
        <w:gridCol w:w="1420"/>
      </w:tblGrid>
      <w:tr w:rsidR="007D3791" w:rsidRPr="00274EF6" w:rsidTr="008E0081">
        <w:trPr>
          <w:trHeight w:val="300"/>
        </w:trPr>
        <w:tc>
          <w:tcPr>
            <w:tcW w:w="3960" w:type="dxa"/>
            <w:gridSpan w:val="2"/>
            <w:vMerge w:val="restart"/>
            <w:noWrap/>
            <w:hideMark/>
          </w:tcPr>
          <w:p w:rsidR="007D3791" w:rsidRPr="00274EF6" w:rsidRDefault="007D3791" w:rsidP="00810396">
            <w:pPr>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Tests</w:t>
            </w:r>
          </w:p>
        </w:tc>
        <w:tc>
          <w:tcPr>
            <w:tcW w:w="1243" w:type="dxa"/>
            <w:noWrap/>
            <w:hideMark/>
          </w:tcPr>
          <w:p w:rsidR="007D3791" w:rsidRPr="00274EF6" w:rsidRDefault="007D3791" w:rsidP="00810396">
            <w:pPr>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df</w:t>
            </w:r>
          </w:p>
        </w:tc>
        <w:tc>
          <w:tcPr>
            <w:tcW w:w="1260" w:type="dxa"/>
            <w:noWrap/>
            <w:hideMark/>
          </w:tcPr>
          <w:p w:rsidR="007D3791" w:rsidRPr="00274EF6" w:rsidRDefault="007D3791" w:rsidP="00810396">
            <w:pPr>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Value</w:t>
            </w:r>
          </w:p>
        </w:tc>
        <w:tc>
          <w:tcPr>
            <w:tcW w:w="1420" w:type="dxa"/>
            <w:noWrap/>
            <w:hideMark/>
          </w:tcPr>
          <w:p w:rsidR="007D3791" w:rsidRPr="00274EF6" w:rsidRDefault="007D3791" w:rsidP="00810396">
            <w:pPr>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Probability</w:t>
            </w:r>
          </w:p>
        </w:tc>
      </w:tr>
      <w:tr w:rsidR="007D3791" w:rsidRPr="00274EF6" w:rsidTr="008E0081">
        <w:trPr>
          <w:trHeight w:val="300"/>
        </w:trPr>
        <w:tc>
          <w:tcPr>
            <w:tcW w:w="3960" w:type="dxa"/>
            <w:gridSpan w:val="2"/>
            <w:vMerge/>
            <w:hideMark/>
          </w:tcPr>
          <w:p w:rsidR="007D3791" w:rsidRPr="00274EF6" w:rsidRDefault="007D3791" w:rsidP="00810396">
            <w:pPr>
              <w:rPr>
                <w:rFonts w:ascii="Times New Roman" w:eastAsia="Times New Roman" w:hAnsi="Times New Roman" w:cs="Times New Roman"/>
                <w:b/>
                <w:bCs/>
                <w:color w:val="000000"/>
              </w:rPr>
            </w:pPr>
          </w:p>
        </w:tc>
        <w:tc>
          <w:tcPr>
            <w:tcW w:w="1243" w:type="dxa"/>
            <w:noWrap/>
            <w:hideMark/>
          </w:tcPr>
          <w:p w:rsidR="007D3791" w:rsidRPr="00274EF6" w:rsidRDefault="007D3791" w:rsidP="00810396">
            <w:pPr>
              <w:rPr>
                <w:rFonts w:ascii="Times New Roman" w:eastAsia="Times New Roman" w:hAnsi="Times New Roman" w:cs="Times New Roman"/>
                <w:color w:val="000000"/>
              </w:rPr>
            </w:pPr>
            <w:r w:rsidRPr="00274EF6">
              <w:rPr>
                <w:rFonts w:ascii="Times New Roman" w:eastAsia="Times New Roman" w:hAnsi="Times New Roman" w:cs="Times New Roman"/>
                <w:color w:val="000000"/>
              </w:rPr>
              <w:t> </w:t>
            </w:r>
          </w:p>
        </w:tc>
        <w:tc>
          <w:tcPr>
            <w:tcW w:w="1260" w:type="dxa"/>
            <w:noWrap/>
            <w:hideMark/>
          </w:tcPr>
          <w:p w:rsidR="007D3791" w:rsidRPr="00274EF6" w:rsidRDefault="007D3791" w:rsidP="00810396">
            <w:pPr>
              <w:rPr>
                <w:rFonts w:ascii="Times New Roman" w:eastAsia="Times New Roman" w:hAnsi="Times New Roman" w:cs="Times New Roman"/>
                <w:color w:val="000000"/>
              </w:rPr>
            </w:pPr>
            <w:r w:rsidRPr="00274EF6">
              <w:rPr>
                <w:rFonts w:ascii="Times New Roman" w:eastAsia="Times New Roman" w:hAnsi="Times New Roman" w:cs="Times New Roman"/>
                <w:color w:val="000000"/>
              </w:rPr>
              <w:t> </w:t>
            </w:r>
          </w:p>
        </w:tc>
        <w:tc>
          <w:tcPr>
            <w:tcW w:w="1420" w:type="dxa"/>
            <w:noWrap/>
            <w:hideMark/>
          </w:tcPr>
          <w:p w:rsidR="007D3791" w:rsidRPr="00274EF6" w:rsidRDefault="007D3791" w:rsidP="00810396">
            <w:pPr>
              <w:rPr>
                <w:rFonts w:ascii="Times New Roman" w:eastAsia="Times New Roman" w:hAnsi="Times New Roman" w:cs="Times New Roman"/>
                <w:color w:val="000000"/>
              </w:rPr>
            </w:pPr>
            <w:r w:rsidRPr="00274EF6">
              <w:rPr>
                <w:rFonts w:ascii="Times New Roman" w:eastAsia="Times New Roman" w:hAnsi="Times New Roman" w:cs="Times New Roman"/>
                <w:color w:val="000000"/>
              </w:rPr>
              <w:t> </w:t>
            </w:r>
          </w:p>
        </w:tc>
      </w:tr>
      <w:tr w:rsidR="008E0081" w:rsidRPr="00274EF6" w:rsidTr="008E0081">
        <w:trPr>
          <w:trHeight w:val="300"/>
        </w:trPr>
        <w:tc>
          <w:tcPr>
            <w:tcW w:w="3960" w:type="dxa"/>
            <w:gridSpan w:val="2"/>
            <w:noWrap/>
            <w:hideMark/>
          </w:tcPr>
          <w:p w:rsidR="008E0081" w:rsidRPr="00274EF6" w:rsidRDefault="008E0081" w:rsidP="008E0081">
            <w:pPr>
              <w:rPr>
                <w:rFonts w:ascii="Times New Roman" w:eastAsia="Times New Roman" w:hAnsi="Times New Roman" w:cs="Times New Roman"/>
                <w:color w:val="000000"/>
              </w:rPr>
            </w:pPr>
            <w:r w:rsidRPr="00274EF6">
              <w:rPr>
                <w:rFonts w:ascii="Times New Roman" w:eastAsia="Times New Roman" w:hAnsi="Times New Roman" w:cs="Times New Roman"/>
                <w:color w:val="000000"/>
              </w:rPr>
              <w:t>t-test</w:t>
            </w:r>
          </w:p>
        </w:tc>
        <w:tc>
          <w:tcPr>
            <w:tcW w:w="1243" w:type="dxa"/>
            <w:noWrap/>
            <w:hideMark/>
          </w:tcPr>
          <w:p w:rsidR="008E0081" w:rsidRPr="00274EF6" w:rsidRDefault="008E0081" w:rsidP="008E0081">
            <w:pPr>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20</w:t>
            </w:r>
          </w:p>
        </w:tc>
        <w:tc>
          <w:tcPr>
            <w:tcW w:w="1260" w:type="dxa"/>
            <w:noWrap/>
            <w:hideMark/>
          </w:tcPr>
          <w:p w:rsidR="008E0081" w:rsidRPr="008E0081" w:rsidRDefault="008E0081" w:rsidP="008E0081">
            <w:pPr>
              <w:jc w:val="right"/>
              <w:rPr>
                <w:rFonts w:ascii="Times New Roman" w:eastAsia="Times New Roman" w:hAnsi="Times New Roman" w:cs="Times New Roman"/>
                <w:color w:val="000000"/>
              </w:rPr>
            </w:pPr>
            <w:r w:rsidRPr="008E0081">
              <w:rPr>
                <w:rFonts w:ascii="Times New Roman" w:eastAsia="Calibri" w:hAnsi="Times New Roman" w:cs="Times New Roman"/>
                <w:bCs/>
                <w:color w:val="000000" w:themeColor="text1"/>
                <w:kern w:val="24"/>
              </w:rPr>
              <w:t>-2.426</w:t>
            </w:r>
          </w:p>
        </w:tc>
        <w:tc>
          <w:tcPr>
            <w:tcW w:w="1420" w:type="dxa"/>
            <w:noWrap/>
            <w:hideMark/>
          </w:tcPr>
          <w:p w:rsidR="008E0081" w:rsidRPr="008E0081" w:rsidRDefault="008E0081" w:rsidP="008E0081">
            <w:pPr>
              <w:jc w:val="right"/>
              <w:rPr>
                <w:rFonts w:ascii="Times New Roman" w:eastAsia="Times New Roman" w:hAnsi="Times New Roman" w:cs="Times New Roman"/>
                <w:color w:val="000000"/>
              </w:rPr>
            </w:pPr>
            <w:r w:rsidRPr="008E0081">
              <w:rPr>
                <w:rFonts w:ascii="Times New Roman" w:hAnsi="Times New Roman" w:cs="Times New Roman"/>
                <w:bCs/>
                <w:color w:val="000000" w:themeColor="text1"/>
                <w:kern w:val="24"/>
                <w:szCs w:val="40"/>
              </w:rPr>
              <w:t>0.0249</w:t>
            </w:r>
          </w:p>
        </w:tc>
      </w:tr>
      <w:tr w:rsidR="008E0081" w:rsidRPr="00274EF6" w:rsidTr="008E0081">
        <w:trPr>
          <w:trHeight w:val="300"/>
        </w:trPr>
        <w:tc>
          <w:tcPr>
            <w:tcW w:w="3960" w:type="dxa"/>
            <w:gridSpan w:val="2"/>
            <w:noWrap/>
            <w:hideMark/>
          </w:tcPr>
          <w:p w:rsidR="008E0081" w:rsidRPr="00274EF6" w:rsidRDefault="008E0081" w:rsidP="008E0081">
            <w:pPr>
              <w:rPr>
                <w:rFonts w:ascii="Times New Roman" w:eastAsia="Times New Roman" w:hAnsi="Times New Roman" w:cs="Times New Roman"/>
                <w:color w:val="000000"/>
              </w:rPr>
            </w:pPr>
            <w:r w:rsidRPr="00274EF6">
              <w:rPr>
                <w:rFonts w:ascii="Times New Roman" w:eastAsia="Times New Roman" w:hAnsi="Times New Roman" w:cs="Times New Roman"/>
                <w:color w:val="000000"/>
              </w:rPr>
              <w:t>Satterthwaite-Welch t-test*</w:t>
            </w:r>
          </w:p>
        </w:tc>
        <w:tc>
          <w:tcPr>
            <w:tcW w:w="1243" w:type="dxa"/>
            <w:noWrap/>
            <w:hideMark/>
          </w:tcPr>
          <w:p w:rsidR="008E0081" w:rsidRPr="00274EF6" w:rsidRDefault="008E0081" w:rsidP="008E0081">
            <w:pPr>
              <w:jc w:val="right"/>
              <w:rPr>
                <w:rFonts w:ascii="Times New Roman" w:eastAsia="Times New Roman" w:hAnsi="Times New Roman" w:cs="Times New Roman"/>
                <w:color w:val="000000"/>
              </w:rPr>
            </w:pPr>
            <w:r>
              <w:rPr>
                <w:rFonts w:ascii="Times New Roman" w:eastAsia="Times New Roman" w:hAnsi="Times New Roman" w:cs="Times New Roman"/>
                <w:color w:val="000000"/>
              </w:rPr>
              <w:t>16.18324</w:t>
            </w:r>
          </w:p>
        </w:tc>
        <w:tc>
          <w:tcPr>
            <w:tcW w:w="1260" w:type="dxa"/>
            <w:noWrap/>
            <w:hideMark/>
          </w:tcPr>
          <w:p w:rsidR="008E0081" w:rsidRPr="008E0081" w:rsidRDefault="008E0081" w:rsidP="008E0081">
            <w:pPr>
              <w:jc w:val="right"/>
              <w:rPr>
                <w:rFonts w:ascii="Times New Roman" w:eastAsia="Times New Roman" w:hAnsi="Times New Roman" w:cs="Times New Roman"/>
                <w:color w:val="000000"/>
              </w:rPr>
            </w:pPr>
            <w:r w:rsidRPr="008E0081">
              <w:rPr>
                <w:rFonts w:ascii="Times New Roman" w:eastAsia="Calibri" w:hAnsi="Times New Roman" w:cs="Times New Roman"/>
                <w:bCs/>
                <w:color w:val="000000" w:themeColor="text1"/>
                <w:kern w:val="24"/>
              </w:rPr>
              <w:t>-2.426</w:t>
            </w:r>
          </w:p>
        </w:tc>
        <w:tc>
          <w:tcPr>
            <w:tcW w:w="1420" w:type="dxa"/>
            <w:noWrap/>
            <w:hideMark/>
          </w:tcPr>
          <w:p w:rsidR="008E0081" w:rsidRPr="008E0081" w:rsidRDefault="008E0081" w:rsidP="008E0081">
            <w:pPr>
              <w:jc w:val="right"/>
              <w:rPr>
                <w:rFonts w:ascii="Times New Roman" w:eastAsia="Times New Roman" w:hAnsi="Times New Roman" w:cs="Times New Roman"/>
                <w:color w:val="000000"/>
              </w:rPr>
            </w:pPr>
            <w:r w:rsidRPr="008E0081">
              <w:rPr>
                <w:rFonts w:ascii="Times New Roman" w:hAnsi="Times New Roman" w:cs="Times New Roman"/>
                <w:bCs/>
                <w:color w:val="000000" w:themeColor="text1"/>
                <w:kern w:val="24"/>
                <w:szCs w:val="40"/>
              </w:rPr>
              <w:t>0.0273</w:t>
            </w:r>
          </w:p>
        </w:tc>
      </w:tr>
      <w:tr w:rsidR="008E0081" w:rsidRPr="00274EF6" w:rsidTr="008E0081">
        <w:trPr>
          <w:trHeight w:val="300"/>
        </w:trPr>
        <w:tc>
          <w:tcPr>
            <w:tcW w:w="3960" w:type="dxa"/>
            <w:gridSpan w:val="2"/>
            <w:noWrap/>
            <w:hideMark/>
          </w:tcPr>
          <w:p w:rsidR="008E0081" w:rsidRPr="00274EF6" w:rsidRDefault="008E0081" w:rsidP="008E0081">
            <w:pPr>
              <w:rPr>
                <w:rFonts w:ascii="Times New Roman" w:eastAsia="Times New Roman" w:hAnsi="Times New Roman" w:cs="Times New Roman"/>
                <w:color w:val="000000"/>
              </w:rPr>
            </w:pPr>
            <w:r w:rsidRPr="00274EF6">
              <w:rPr>
                <w:rFonts w:ascii="Times New Roman" w:eastAsia="Times New Roman" w:hAnsi="Times New Roman" w:cs="Times New Roman"/>
                <w:color w:val="000000"/>
              </w:rPr>
              <w:t>Anova F-test</w:t>
            </w:r>
          </w:p>
        </w:tc>
        <w:tc>
          <w:tcPr>
            <w:tcW w:w="1243" w:type="dxa"/>
            <w:noWrap/>
            <w:hideMark/>
          </w:tcPr>
          <w:p w:rsidR="008E0081" w:rsidRPr="00274EF6" w:rsidRDefault="008E0081" w:rsidP="008E0081">
            <w:pPr>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(1, 20)</w:t>
            </w:r>
          </w:p>
        </w:tc>
        <w:tc>
          <w:tcPr>
            <w:tcW w:w="1260" w:type="dxa"/>
            <w:noWrap/>
            <w:hideMark/>
          </w:tcPr>
          <w:p w:rsidR="008E0081" w:rsidRPr="008E0081" w:rsidRDefault="008E0081" w:rsidP="008E0081">
            <w:pPr>
              <w:jc w:val="right"/>
              <w:rPr>
                <w:rFonts w:ascii="Times New Roman" w:eastAsia="Times New Roman" w:hAnsi="Times New Roman" w:cs="Times New Roman"/>
                <w:color w:val="000000"/>
              </w:rPr>
            </w:pPr>
            <w:r w:rsidRPr="008E0081">
              <w:rPr>
                <w:rFonts w:ascii="Times New Roman" w:eastAsia="Calibri" w:hAnsi="Times New Roman" w:cs="Times New Roman"/>
                <w:bCs/>
                <w:color w:val="000000" w:themeColor="text1"/>
                <w:kern w:val="24"/>
              </w:rPr>
              <w:t>5.885</w:t>
            </w:r>
          </w:p>
        </w:tc>
        <w:tc>
          <w:tcPr>
            <w:tcW w:w="1420" w:type="dxa"/>
            <w:noWrap/>
            <w:hideMark/>
          </w:tcPr>
          <w:p w:rsidR="008E0081" w:rsidRPr="008E0081" w:rsidRDefault="008E0081" w:rsidP="008E0081">
            <w:pPr>
              <w:jc w:val="right"/>
              <w:rPr>
                <w:rFonts w:ascii="Times New Roman" w:eastAsia="Times New Roman" w:hAnsi="Times New Roman" w:cs="Times New Roman"/>
                <w:color w:val="000000"/>
              </w:rPr>
            </w:pPr>
            <w:r w:rsidRPr="008E0081">
              <w:rPr>
                <w:rFonts w:ascii="Times New Roman" w:hAnsi="Times New Roman" w:cs="Times New Roman"/>
                <w:bCs/>
                <w:color w:val="000000" w:themeColor="text1"/>
                <w:kern w:val="24"/>
                <w:szCs w:val="40"/>
              </w:rPr>
              <w:t>0.0249</w:t>
            </w:r>
          </w:p>
        </w:tc>
      </w:tr>
      <w:tr w:rsidR="008E0081" w:rsidRPr="00274EF6" w:rsidTr="008E0081">
        <w:trPr>
          <w:trHeight w:val="300"/>
        </w:trPr>
        <w:tc>
          <w:tcPr>
            <w:tcW w:w="3960" w:type="dxa"/>
            <w:gridSpan w:val="2"/>
            <w:noWrap/>
            <w:hideMark/>
          </w:tcPr>
          <w:p w:rsidR="008E0081" w:rsidRPr="00274EF6" w:rsidRDefault="008E0081" w:rsidP="008E0081">
            <w:pPr>
              <w:rPr>
                <w:rFonts w:ascii="Times New Roman" w:eastAsia="Times New Roman" w:hAnsi="Times New Roman" w:cs="Times New Roman"/>
                <w:color w:val="000000"/>
              </w:rPr>
            </w:pPr>
            <w:r w:rsidRPr="00274EF6">
              <w:rPr>
                <w:rFonts w:ascii="Times New Roman" w:eastAsia="Times New Roman" w:hAnsi="Times New Roman" w:cs="Times New Roman"/>
                <w:color w:val="000000"/>
              </w:rPr>
              <w:t>Welch F-test*</w:t>
            </w:r>
          </w:p>
        </w:tc>
        <w:tc>
          <w:tcPr>
            <w:tcW w:w="1243" w:type="dxa"/>
            <w:noWrap/>
            <w:hideMark/>
          </w:tcPr>
          <w:p w:rsidR="008E0081" w:rsidRPr="00274EF6" w:rsidRDefault="008E0081" w:rsidP="008E0081">
            <w:pPr>
              <w:jc w:val="right"/>
              <w:rPr>
                <w:rFonts w:ascii="Times New Roman" w:eastAsia="Times New Roman" w:hAnsi="Times New Roman" w:cs="Times New Roman"/>
                <w:color w:val="000000"/>
              </w:rPr>
            </w:pPr>
            <w:r>
              <w:rPr>
                <w:rFonts w:ascii="Times New Roman" w:eastAsia="Times New Roman" w:hAnsi="Times New Roman" w:cs="Times New Roman"/>
                <w:color w:val="000000"/>
              </w:rPr>
              <w:t>(1,16.1832</w:t>
            </w:r>
            <w:r w:rsidRPr="00274EF6">
              <w:rPr>
                <w:rFonts w:ascii="Times New Roman" w:eastAsia="Times New Roman" w:hAnsi="Times New Roman" w:cs="Times New Roman"/>
                <w:color w:val="000000"/>
              </w:rPr>
              <w:t>)</w:t>
            </w:r>
          </w:p>
        </w:tc>
        <w:tc>
          <w:tcPr>
            <w:tcW w:w="1260" w:type="dxa"/>
            <w:noWrap/>
            <w:hideMark/>
          </w:tcPr>
          <w:p w:rsidR="008E0081" w:rsidRPr="008E0081" w:rsidRDefault="008E0081" w:rsidP="008E0081">
            <w:pPr>
              <w:jc w:val="right"/>
              <w:rPr>
                <w:rFonts w:ascii="Times New Roman" w:eastAsia="Times New Roman" w:hAnsi="Times New Roman" w:cs="Times New Roman"/>
                <w:color w:val="000000"/>
              </w:rPr>
            </w:pPr>
            <w:r w:rsidRPr="008E0081">
              <w:rPr>
                <w:rFonts w:ascii="Times New Roman" w:eastAsia="Calibri" w:hAnsi="Times New Roman" w:cs="Times New Roman"/>
                <w:bCs/>
                <w:color w:val="000000" w:themeColor="text1"/>
                <w:kern w:val="24"/>
              </w:rPr>
              <w:t>5.885</w:t>
            </w:r>
          </w:p>
        </w:tc>
        <w:tc>
          <w:tcPr>
            <w:tcW w:w="1420" w:type="dxa"/>
            <w:noWrap/>
            <w:hideMark/>
          </w:tcPr>
          <w:p w:rsidR="008E0081" w:rsidRPr="008E0081" w:rsidRDefault="008E0081" w:rsidP="008E0081">
            <w:pPr>
              <w:jc w:val="right"/>
              <w:rPr>
                <w:rFonts w:ascii="Times New Roman" w:eastAsia="Times New Roman" w:hAnsi="Times New Roman" w:cs="Times New Roman"/>
                <w:color w:val="000000"/>
              </w:rPr>
            </w:pPr>
            <w:r w:rsidRPr="008E0081">
              <w:rPr>
                <w:rFonts w:ascii="Times New Roman" w:hAnsi="Times New Roman" w:cs="Times New Roman"/>
                <w:bCs/>
                <w:color w:val="000000" w:themeColor="text1"/>
                <w:kern w:val="24"/>
                <w:szCs w:val="40"/>
              </w:rPr>
              <w:t>0.0273</w:t>
            </w:r>
          </w:p>
        </w:tc>
      </w:tr>
      <w:tr w:rsidR="007D3791" w:rsidRPr="00274EF6" w:rsidTr="008E0081">
        <w:trPr>
          <w:trHeight w:val="300"/>
        </w:trPr>
        <w:tc>
          <w:tcPr>
            <w:tcW w:w="1989" w:type="dxa"/>
            <w:noWrap/>
            <w:hideMark/>
          </w:tcPr>
          <w:p w:rsidR="007D3791" w:rsidRDefault="007D3791" w:rsidP="00810396">
            <w:pPr>
              <w:rPr>
                <w:rFonts w:ascii="Times New Roman" w:eastAsia="Times New Roman" w:hAnsi="Times New Roman" w:cs="Times New Roman"/>
                <w:color w:val="000000"/>
              </w:rPr>
            </w:pPr>
          </w:p>
          <w:p w:rsidR="007D3791" w:rsidRPr="00274EF6" w:rsidRDefault="007D3791" w:rsidP="00810396">
            <w:pPr>
              <w:jc w:val="right"/>
              <w:rPr>
                <w:rFonts w:ascii="Times New Roman" w:eastAsia="Times New Roman" w:hAnsi="Times New Roman" w:cs="Times New Roman"/>
                <w:color w:val="000000"/>
              </w:rPr>
            </w:pPr>
          </w:p>
        </w:tc>
        <w:tc>
          <w:tcPr>
            <w:tcW w:w="1971" w:type="dxa"/>
            <w:noWrap/>
            <w:hideMark/>
          </w:tcPr>
          <w:p w:rsidR="007D3791" w:rsidRPr="00274EF6" w:rsidRDefault="007D3791" w:rsidP="00810396">
            <w:pPr>
              <w:rPr>
                <w:rFonts w:ascii="Times New Roman" w:eastAsia="Times New Roman" w:hAnsi="Times New Roman" w:cs="Times New Roman"/>
                <w:sz w:val="20"/>
                <w:szCs w:val="20"/>
              </w:rPr>
            </w:pPr>
          </w:p>
        </w:tc>
        <w:tc>
          <w:tcPr>
            <w:tcW w:w="1243" w:type="dxa"/>
            <w:noWrap/>
            <w:hideMark/>
          </w:tcPr>
          <w:p w:rsidR="007D3791" w:rsidRPr="00274EF6" w:rsidRDefault="007D3791" w:rsidP="00810396">
            <w:pPr>
              <w:rPr>
                <w:rFonts w:ascii="Times New Roman" w:eastAsia="Times New Roman" w:hAnsi="Times New Roman" w:cs="Times New Roman"/>
                <w:sz w:val="20"/>
                <w:szCs w:val="20"/>
              </w:rPr>
            </w:pPr>
          </w:p>
        </w:tc>
        <w:tc>
          <w:tcPr>
            <w:tcW w:w="1260" w:type="dxa"/>
            <w:noWrap/>
            <w:hideMark/>
          </w:tcPr>
          <w:p w:rsidR="007D3791" w:rsidRPr="00274EF6" w:rsidRDefault="007D3791" w:rsidP="00810396">
            <w:pPr>
              <w:rPr>
                <w:rFonts w:ascii="Times New Roman" w:eastAsia="Times New Roman" w:hAnsi="Times New Roman" w:cs="Times New Roman"/>
                <w:sz w:val="20"/>
                <w:szCs w:val="20"/>
              </w:rPr>
            </w:pPr>
          </w:p>
        </w:tc>
        <w:tc>
          <w:tcPr>
            <w:tcW w:w="1420" w:type="dxa"/>
            <w:noWrap/>
            <w:hideMark/>
          </w:tcPr>
          <w:p w:rsidR="007D3791" w:rsidRPr="00274EF6" w:rsidRDefault="007D3791" w:rsidP="00810396">
            <w:pPr>
              <w:rPr>
                <w:rFonts w:ascii="Times New Roman" w:eastAsia="Times New Roman" w:hAnsi="Times New Roman" w:cs="Times New Roman"/>
                <w:sz w:val="20"/>
                <w:szCs w:val="20"/>
              </w:rPr>
            </w:pPr>
          </w:p>
        </w:tc>
      </w:tr>
      <w:tr w:rsidR="007D3791" w:rsidRPr="00274EF6" w:rsidTr="008E0081">
        <w:trPr>
          <w:trHeight w:val="300"/>
        </w:trPr>
        <w:tc>
          <w:tcPr>
            <w:tcW w:w="1989" w:type="dxa"/>
            <w:vMerge w:val="restart"/>
            <w:noWrap/>
            <w:hideMark/>
          </w:tcPr>
          <w:p w:rsidR="007D3791" w:rsidRPr="00274EF6" w:rsidRDefault="007D3791" w:rsidP="00810396">
            <w:pPr>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Variable</w:t>
            </w:r>
          </w:p>
        </w:tc>
        <w:tc>
          <w:tcPr>
            <w:tcW w:w="1971" w:type="dxa"/>
            <w:vMerge w:val="restart"/>
            <w:noWrap/>
            <w:hideMark/>
          </w:tcPr>
          <w:p w:rsidR="007D3791" w:rsidRPr="00274EF6" w:rsidRDefault="007D3791" w:rsidP="00810396">
            <w:pPr>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Observations</w:t>
            </w:r>
          </w:p>
        </w:tc>
        <w:tc>
          <w:tcPr>
            <w:tcW w:w="1243" w:type="dxa"/>
            <w:vMerge w:val="restart"/>
            <w:noWrap/>
            <w:hideMark/>
          </w:tcPr>
          <w:p w:rsidR="007D3791" w:rsidRPr="00274EF6" w:rsidRDefault="007D3791" w:rsidP="00810396">
            <w:pPr>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Mean</w:t>
            </w:r>
          </w:p>
        </w:tc>
        <w:tc>
          <w:tcPr>
            <w:tcW w:w="1260" w:type="dxa"/>
            <w:vMerge w:val="restart"/>
            <w:noWrap/>
            <w:hideMark/>
          </w:tcPr>
          <w:p w:rsidR="007D3791" w:rsidRPr="00274EF6" w:rsidRDefault="007D3791" w:rsidP="00810396">
            <w:pPr>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Std. Dev.</w:t>
            </w:r>
          </w:p>
        </w:tc>
        <w:tc>
          <w:tcPr>
            <w:tcW w:w="1420" w:type="dxa"/>
            <w:vMerge w:val="restart"/>
            <w:hideMark/>
          </w:tcPr>
          <w:p w:rsidR="007D3791" w:rsidRPr="00274EF6" w:rsidRDefault="007D3791" w:rsidP="00810396">
            <w:pPr>
              <w:jc w:val="center"/>
              <w:rPr>
                <w:rFonts w:ascii="Times New Roman" w:eastAsia="Times New Roman" w:hAnsi="Times New Roman" w:cs="Times New Roman"/>
                <w:b/>
                <w:bCs/>
                <w:color w:val="000000"/>
              </w:rPr>
            </w:pPr>
            <w:r w:rsidRPr="00274EF6">
              <w:rPr>
                <w:rFonts w:ascii="Times New Roman" w:eastAsia="Times New Roman" w:hAnsi="Times New Roman" w:cs="Times New Roman"/>
                <w:b/>
                <w:bCs/>
                <w:color w:val="000000"/>
              </w:rPr>
              <w:t>Std. Err. Of Mean</w:t>
            </w:r>
          </w:p>
        </w:tc>
      </w:tr>
      <w:tr w:rsidR="007D3791" w:rsidRPr="00274EF6" w:rsidTr="008E0081">
        <w:trPr>
          <w:trHeight w:val="450"/>
        </w:trPr>
        <w:tc>
          <w:tcPr>
            <w:tcW w:w="1989" w:type="dxa"/>
            <w:vMerge/>
            <w:hideMark/>
          </w:tcPr>
          <w:p w:rsidR="007D3791" w:rsidRPr="00274EF6" w:rsidRDefault="007D3791" w:rsidP="00810396">
            <w:pPr>
              <w:rPr>
                <w:rFonts w:ascii="Times New Roman" w:eastAsia="Times New Roman" w:hAnsi="Times New Roman" w:cs="Times New Roman"/>
                <w:b/>
                <w:bCs/>
                <w:color w:val="000000"/>
              </w:rPr>
            </w:pPr>
          </w:p>
        </w:tc>
        <w:tc>
          <w:tcPr>
            <w:tcW w:w="1971" w:type="dxa"/>
            <w:vMerge/>
            <w:hideMark/>
          </w:tcPr>
          <w:p w:rsidR="007D3791" w:rsidRPr="00274EF6" w:rsidRDefault="007D3791" w:rsidP="00810396">
            <w:pPr>
              <w:rPr>
                <w:rFonts w:ascii="Times New Roman" w:eastAsia="Times New Roman" w:hAnsi="Times New Roman" w:cs="Times New Roman"/>
                <w:b/>
                <w:bCs/>
                <w:color w:val="000000"/>
              </w:rPr>
            </w:pPr>
          </w:p>
        </w:tc>
        <w:tc>
          <w:tcPr>
            <w:tcW w:w="1243" w:type="dxa"/>
            <w:vMerge/>
            <w:hideMark/>
          </w:tcPr>
          <w:p w:rsidR="007D3791" w:rsidRPr="00274EF6" w:rsidRDefault="007D3791" w:rsidP="00810396">
            <w:pPr>
              <w:rPr>
                <w:rFonts w:ascii="Times New Roman" w:eastAsia="Times New Roman" w:hAnsi="Times New Roman" w:cs="Times New Roman"/>
                <w:b/>
                <w:bCs/>
                <w:color w:val="000000"/>
              </w:rPr>
            </w:pPr>
          </w:p>
        </w:tc>
        <w:tc>
          <w:tcPr>
            <w:tcW w:w="1260" w:type="dxa"/>
            <w:vMerge/>
            <w:hideMark/>
          </w:tcPr>
          <w:p w:rsidR="007D3791" w:rsidRPr="00274EF6" w:rsidRDefault="007D3791" w:rsidP="00810396">
            <w:pPr>
              <w:rPr>
                <w:rFonts w:ascii="Times New Roman" w:eastAsia="Times New Roman" w:hAnsi="Times New Roman" w:cs="Times New Roman"/>
                <w:b/>
                <w:bCs/>
                <w:color w:val="000000"/>
              </w:rPr>
            </w:pPr>
          </w:p>
        </w:tc>
        <w:tc>
          <w:tcPr>
            <w:tcW w:w="1420" w:type="dxa"/>
            <w:vMerge/>
            <w:hideMark/>
          </w:tcPr>
          <w:p w:rsidR="007D3791" w:rsidRPr="00274EF6" w:rsidRDefault="007D3791" w:rsidP="00810396">
            <w:pPr>
              <w:rPr>
                <w:rFonts w:ascii="Times New Roman" w:eastAsia="Times New Roman" w:hAnsi="Times New Roman" w:cs="Times New Roman"/>
                <w:b/>
                <w:bCs/>
                <w:color w:val="000000"/>
              </w:rPr>
            </w:pPr>
          </w:p>
        </w:tc>
      </w:tr>
      <w:tr w:rsidR="007D3791" w:rsidRPr="00274EF6" w:rsidTr="00CF427C">
        <w:trPr>
          <w:trHeight w:val="300"/>
        </w:trPr>
        <w:tc>
          <w:tcPr>
            <w:tcW w:w="1989" w:type="dxa"/>
            <w:noWrap/>
            <w:hideMark/>
          </w:tcPr>
          <w:p w:rsidR="007D3791" w:rsidRPr="00274EF6" w:rsidRDefault="00CF427C" w:rsidP="00810396">
            <w:pPr>
              <w:rPr>
                <w:rFonts w:ascii="Times New Roman" w:eastAsia="Times New Roman" w:hAnsi="Times New Roman" w:cs="Times New Roman"/>
                <w:color w:val="000000"/>
              </w:rPr>
            </w:pPr>
            <w:r>
              <w:rPr>
                <w:rFonts w:ascii="Times New Roman" w:eastAsia="Times New Roman" w:hAnsi="Times New Roman" w:cs="Times New Roman"/>
                <w:color w:val="000000"/>
              </w:rPr>
              <w:t>SymVolatility</w:t>
            </w:r>
            <w:r w:rsidR="007D3791" w:rsidRPr="00274EF6">
              <w:rPr>
                <w:rFonts w:ascii="Times New Roman" w:eastAsia="Times New Roman" w:hAnsi="Times New Roman" w:cs="Times New Roman"/>
                <w:color w:val="000000"/>
              </w:rPr>
              <w:t>_FL</w:t>
            </w:r>
          </w:p>
        </w:tc>
        <w:tc>
          <w:tcPr>
            <w:tcW w:w="1971" w:type="dxa"/>
            <w:noWrap/>
            <w:hideMark/>
          </w:tcPr>
          <w:p w:rsidR="007D3791" w:rsidRPr="00274EF6" w:rsidRDefault="007D3791" w:rsidP="00810396">
            <w:pPr>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11</w:t>
            </w:r>
          </w:p>
        </w:tc>
        <w:tc>
          <w:tcPr>
            <w:tcW w:w="1243" w:type="dxa"/>
            <w:noWrap/>
            <w:hideMark/>
          </w:tcPr>
          <w:p w:rsidR="007D3791" w:rsidRPr="00274EF6" w:rsidRDefault="00CF427C" w:rsidP="00810396">
            <w:pPr>
              <w:jc w:val="right"/>
              <w:rPr>
                <w:rFonts w:ascii="Times New Roman" w:eastAsia="Times New Roman" w:hAnsi="Times New Roman" w:cs="Times New Roman"/>
                <w:color w:val="000000"/>
              </w:rPr>
            </w:pPr>
            <w:r>
              <w:rPr>
                <w:rFonts w:ascii="Times New Roman" w:eastAsia="Times New Roman" w:hAnsi="Times New Roman" w:cs="Times New Roman"/>
                <w:color w:val="000000"/>
              </w:rPr>
              <w:t>1.4505</w:t>
            </w:r>
          </w:p>
        </w:tc>
        <w:tc>
          <w:tcPr>
            <w:tcW w:w="1260" w:type="dxa"/>
            <w:noWrap/>
          </w:tcPr>
          <w:p w:rsidR="007D3791" w:rsidRPr="00274EF6" w:rsidRDefault="00CF427C" w:rsidP="00810396">
            <w:pPr>
              <w:jc w:val="right"/>
              <w:rPr>
                <w:rFonts w:ascii="Times New Roman" w:eastAsia="Times New Roman" w:hAnsi="Times New Roman" w:cs="Times New Roman"/>
                <w:color w:val="000000"/>
              </w:rPr>
            </w:pPr>
            <w:r>
              <w:rPr>
                <w:rFonts w:ascii="Times New Roman" w:eastAsia="Times New Roman" w:hAnsi="Times New Roman" w:cs="Times New Roman"/>
                <w:color w:val="000000"/>
              </w:rPr>
              <w:t>0.1212</w:t>
            </w:r>
          </w:p>
        </w:tc>
        <w:tc>
          <w:tcPr>
            <w:tcW w:w="1420" w:type="dxa"/>
            <w:noWrap/>
          </w:tcPr>
          <w:p w:rsidR="007D3791" w:rsidRPr="00274EF6" w:rsidRDefault="00CF427C" w:rsidP="00810396">
            <w:pPr>
              <w:jc w:val="right"/>
              <w:rPr>
                <w:rFonts w:ascii="Times New Roman" w:eastAsia="Times New Roman" w:hAnsi="Times New Roman" w:cs="Times New Roman"/>
                <w:color w:val="000000"/>
              </w:rPr>
            </w:pPr>
            <w:r>
              <w:rPr>
                <w:rFonts w:ascii="Times New Roman" w:eastAsia="Times New Roman" w:hAnsi="Times New Roman" w:cs="Times New Roman"/>
                <w:color w:val="000000"/>
              </w:rPr>
              <w:t>0.0366</w:t>
            </w:r>
          </w:p>
        </w:tc>
      </w:tr>
      <w:tr w:rsidR="007D3791" w:rsidRPr="00274EF6" w:rsidTr="00CF427C">
        <w:trPr>
          <w:trHeight w:val="300"/>
        </w:trPr>
        <w:tc>
          <w:tcPr>
            <w:tcW w:w="1989" w:type="dxa"/>
            <w:noWrap/>
            <w:hideMark/>
          </w:tcPr>
          <w:p w:rsidR="007D3791" w:rsidRPr="00274EF6" w:rsidRDefault="00CF427C" w:rsidP="00810396">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SymVolatility</w:t>
            </w:r>
            <w:r w:rsidR="007D3791" w:rsidRPr="00274EF6">
              <w:rPr>
                <w:rFonts w:ascii="Times New Roman" w:eastAsia="Times New Roman" w:hAnsi="Times New Roman" w:cs="Times New Roman"/>
                <w:color w:val="000000"/>
              </w:rPr>
              <w:t>_NFL</w:t>
            </w:r>
          </w:p>
        </w:tc>
        <w:tc>
          <w:tcPr>
            <w:tcW w:w="1971" w:type="dxa"/>
            <w:noWrap/>
            <w:hideMark/>
          </w:tcPr>
          <w:p w:rsidR="007D3791" w:rsidRPr="00274EF6" w:rsidRDefault="007D3791" w:rsidP="00810396">
            <w:pPr>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11</w:t>
            </w:r>
          </w:p>
        </w:tc>
        <w:tc>
          <w:tcPr>
            <w:tcW w:w="1243" w:type="dxa"/>
            <w:noWrap/>
            <w:hideMark/>
          </w:tcPr>
          <w:p w:rsidR="007D3791" w:rsidRPr="00274EF6" w:rsidRDefault="00CF427C" w:rsidP="00810396">
            <w:pPr>
              <w:jc w:val="right"/>
              <w:rPr>
                <w:rFonts w:ascii="Times New Roman" w:eastAsia="Times New Roman" w:hAnsi="Times New Roman" w:cs="Times New Roman"/>
                <w:color w:val="000000"/>
              </w:rPr>
            </w:pPr>
            <w:r>
              <w:rPr>
                <w:rFonts w:ascii="Times New Roman" w:eastAsia="Times New Roman" w:hAnsi="Times New Roman" w:cs="Times New Roman"/>
                <w:color w:val="000000"/>
              </w:rPr>
              <w:t>1.5534</w:t>
            </w:r>
          </w:p>
        </w:tc>
        <w:tc>
          <w:tcPr>
            <w:tcW w:w="1260" w:type="dxa"/>
            <w:noWrap/>
          </w:tcPr>
          <w:p w:rsidR="007D3791" w:rsidRPr="00274EF6" w:rsidRDefault="00CF427C" w:rsidP="00810396">
            <w:pPr>
              <w:jc w:val="right"/>
              <w:rPr>
                <w:rFonts w:ascii="Times New Roman" w:eastAsia="Times New Roman" w:hAnsi="Times New Roman" w:cs="Times New Roman"/>
                <w:color w:val="000000"/>
              </w:rPr>
            </w:pPr>
            <w:r>
              <w:rPr>
                <w:rFonts w:ascii="Times New Roman" w:eastAsia="Times New Roman" w:hAnsi="Times New Roman" w:cs="Times New Roman"/>
                <w:color w:val="000000"/>
              </w:rPr>
              <w:t>0.0713</w:t>
            </w:r>
          </w:p>
        </w:tc>
        <w:tc>
          <w:tcPr>
            <w:tcW w:w="1420" w:type="dxa"/>
            <w:noWrap/>
          </w:tcPr>
          <w:p w:rsidR="007D3791" w:rsidRPr="00274EF6" w:rsidRDefault="00CF427C" w:rsidP="00810396">
            <w:pPr>
              <w:jc w:val="right"/>
              <w:rPr>
                <w:rFonts w:ascii="Times New Roman" w:eastAsia="Times New Roman" w:hAnsi="Times New Roman" w:cs="Times New Roman"/>
                <w:color w:val="000000"/>
              </w:rPr>
            </w:pPr>
            <w:r>
              <w:rPr>
                <w:rFonts w:ascii="Times New Roman" w:eastAsia="Times New Roman" w:hAnsi="Times New Roman" w:cs="Times New Roman"/>
                <w:color w:val="000000"/>
              </w:rPr>
              <w:t>0.0215</w:t>
            </w:r>
          </w:p>
        </w:tc>
      </w:tr>
      <w:tr w:rsidR="007D3791" w:rsidRPr="00274EF6" w:rsidTr="00CF427C">
        <w:trPr>
          <w:trHeight w:val="300"/>
        </w:trPr>
        <w:tc>
          <w:tcPr>
            <w:tcW w:w="1989" w:type="dxa"/>
            <w:noWrap/>
            <w:hideMark/>
          </w:tcPr>
          <w:p w:rsidR="007D3791" w:rsidRPr="00274EF6" w:rsidRDefault="007D3791" w:rsidP="00810396">
            <w:pPr>
              <w:rPr>
                <w:rFonts w:ascii="Times New Roman" w:eastAsia="Times New Roman" w:hAnsi="Times New Roman" w:cs="Times New Roman"/>
                <w:color w:val="000000"/>
              </w:rPr>
            </w:pPr>
            <w:r w:rsidRPr="00274EF6">
              <w:rPr>
                <w:rFonts w:ascii="Times New Roman" w:eastAsia="Times New Roman" w:hAnsi="Times New Roman" w:cs="Times New Roman"/>
                <w:color w:val="000000"/>
              </w:rPr>
              <w:t>All</w:t>
            </w:r>
          </w:p>
        </w:tc>
        <w:tc>
          <w:tcPr>
            <w:tcW w:w="1971" w:type="dxa"/>
            <w:noWrap/>
            <w:hideMark/>
          </w:tcPr>
          <w:p w:rsidR="007D3791" w:rsidRPr="00274EF6" w:rsidRDefault="007D3791" w:rsidP="00810396">
            <w:pPr>
              <w:jc w:val="right"/>
              <w:rPr>
                <w:rFonts w:ascii="Times New Roman" w:eastAsia="Times New Roman" w:hAnsi="Times New Roman" w:cs="Times New Roman"/>
                <w:color w:val="000000"/>
              </w:rPr>
            </w:pPr>
            <w:r w:rsidRPr="00274EF6">
              <w:rPr>
                <w:rFonts w:ascii="Times New Roman" w:eastAsia="Times New Roman" w:hAnsi="Times New Roman" w:cs="Times New Roman"/>
                <w:color w:val="000000"/>
              </w:rPr>
              <w:t>22</w:t>
            </w:r>
          </w:p>
        </w:tc>
        <w:tc>
          <w:tcPr>
            <w:tcW w:w="1243" w:type="dxa"/>
            <w:noWrap/>
          </w:tcPr>
          <w:p w:rsidR="007D3791" w:rsidRPr="00274EF6" w:rsidRDefault="00CF427C" w:rsidP="00810396">
            <w:pPr>
              <w:jc w:val="right"/>
              <w:rPr>
                <w:rFonts w:ascii="Times New Roman" w:eastAsia="Times New Roman" w:hAnsi="Times New Roman" w:cs="Times New Roman"/>
                <w:color w:val="000000"/>
              </w:rPr>
            </w:pPr>
            <w:r>
              <w:rPr>
                <w:rFonts w:ascii="Times New Roman" w:eastAsia="Times New Roman" w:hAnsi="Times New Roman" w:cs="Times New Roman"/>
                <w:color w:val="000000"/>
              </w:rPr>
              <w:t>1.5020</w:t>
            </w:r>
          </w:p>
        </w:tc>
        <w:tc>
          <w:tcPr>
            <w:tcW w:w="1260" w:type="dxa"/>
            <w:noWrap/>
          </w:tcPr>
          <w:p w:rsidR="007D3791" w:rsidRPr="00274EF6" w:rsidRDefault="00CF427C" w:rsidP="00810396">
            <w:pPr>
              <w:jc w:val="right"/>
              <w:rPr>
                <w:rFonts w:ascii="Times New Roman" w:eastAsia="Times New Roman" w:hAnsi="Times New Roman" w:cs="Times New Roman"/>
                <w:color w:val="000000"/>
              </w:rPr>
            </w:pPr>
            <w:r>
              <w:rPr>
                <w:rFonts w:ascii="Times New Roman" w:eastAsia="Times New Roman" w:hAnsi="Times New Roman" w:cs="Times New Roman"/>
                <w:color w:val="000000"/>
              </w:rPr>
              <w:t>0.1104</w:t>
            </w:r>
          </w:p>
        </w:tc>
        <w:tc>
          <w:tcPr>
            <w:tcW w:w="1420" w:type="dxa"/>
            <w:noWrap/>
          </w:tcPr>
          <w:p w:rsidR="007D3791" w:rsidRPr="00274EF6" w:rsidRDefault="00CF427C" w:rsidP="00810396">
            <w:pPr>
              <w:jc w:val="right"/>
              <w:rPr>
                <w:rFonts w:ascii="Times New Roman" w:eastAsia="Times New Roman" w:hAnsi="Times New Roman" w:cs="Times New Roman"/>
                <w:color w:val="000000"/>
              </w:rPr>
            </w:pPr>
            <w:r>
              <w:rPr>
                <w:rFonts w:ascii="Times New Roman" w:eastAsia="Times New Roman" w:hAnsi="Times New Roman" w:cs="Times New Roman"/>
                <w:color w:val="000000"/>
              </w:rPr>
              <w:t>0.0235</w:t>
            </w:r>
          </w:p>
        </w:tc>
      </w:tr>
    </w:tbl>
    <w:p w:rsidR="00033D3C" w:rsidRDefault="00033D3C" w:rsidP="006A1347">
      <w:pPr>
        <w:tabs>
          <w:tab w:val="left" w:pos="1650"/>
        </w:tabs>
        <w:spacing w:before="240" w:line="480" w:lineRule="auto"/>
        <w:jc w:val="both"/>
        <w:rPr>
          <w:rFonts w:ascii="Times New Roman" w:eastAsia="Times New Roman" w:hAnsi="Times New Roman" w:cs="Times New Roman"/>
          <w:b/>
          <w:color w:val="000000"/>
          <w:sz w:val="24"/>
          <w:szCs w:val="24"/>
        </w:rPr>
      </w:pPr>
    </w:p>
    <w:p w:rsidR="00033D3C" w:rsidRDefault="00033D3C" w:rsidP="006A1347">
      <w:pPr>
        <w:tabs>
          <w:tab w:val="left" w:pos="1650"/>
        </w:tabs>
        <w:spacing w:before="240" w:line="480" w:lineRule="auto"/>
        <w:jc w:val="both"/>
        <w:rPr>
          <w:rFonts w:ascii="Times New Roman" w:eastAsia="Times New Roman" w:hAnsi="Times New Roman" w:cs="Times New Roman"/>
          <w:b/>
          <w:color w:val="000000"/>
          <w:sz w:val="24"/>
          <w:szCs w:val="24"/>
        </w:rPr>
      </w:pPr>
    </w:p>
    <w:p w:rsidR="00033D3C" w:rsidRDefault="00033D3C" w:rsidP="006A1347">
      <w:pPr>
        <w:tabs>
          <w:tab w:val="left" w:pos="1650"/>
        </w:tabs>
        <w:spacing w:before="240" w:line="480" w:lineRule="auto"/>
        <w:jc w:val="both"/>
        <w:rPr>
          <w:rFonts w:ascii="Times New Roman" w:eastAsia="Times New Roman" w:hAnsi="Times New Roman" w:cs="Times New Roman"/>
          <w:b/>
          <w:color w:val="000000"/>
          <w:sz w:val="24"/>
          <w:szCs w:val="24"/>
        </w:rPr>
      </w:pPr>
    </w:p>
    <w:p w:rsidR="00033D3C" w:rsidRDefault="00033D3C" w:rsidP="006A1347">
      <w:pPr>
        <w:tabs>
          <w:tab w:val="left" w:pos="1650"/>
        </w:tabs>
        <w:spacing w:before="240" w:line="480" w:lineRule="auto"/>
        <w:jc w:val="both"/>
        <w:rPr>
          <w:rFonts w:ascii="Times New Roman" w:eastAsia="Times New Roman" w:hAnsi="Times New Roman" w:cs="Times New Roman"/>
          <w:b/>
          <w:color w:val="000000"/>
          <w:sz w:val="24"/>
          <w:szCs w:val="24"/>
        </w:rPr>
      </w:pPr>
    </w:p>
    <w:p w:rsidR="00033D3C" w:rsidRDefault="00033D3C" w:rsidP="006A1347">
      <w:pPr>
        <w:tabs>
          <w:tab w:val="left" w:pos="1650"/>
        </w:tabs>
        <w:spacing w:before="240" w:line="480" w:lineRule="auto"/>
        <w:jc w:val="both"/>
        <w:rPr>
          <w:rFonts w:ascii="Times New Roman" w:eastAsia="Times New Roman" w:hAnsi="Times New Roman" w:cs="Times New Roman"/>
          <w:b/>
          <w:color w:val="000000"/>
          <w:sz w:val="24"/>
          <w:szCs w:val="24"/>
        </w:rPr>
      </w:pPr>
    </w:p>
    <w:p w:rsidR="00033D3C" w:rsidRDefault="00033D3C" w:rsidP="006A1347">
      <w:pPr>
        <w:tabs>
          <w:tab w:val="left" w:pos="1650"/>
        </w:tabs>
        <w:spacing w:before="240" w:line="480" w:lineRule="auto"/>
        <w:jc w:val="both"/>
        <w:rPr>
          <w:rFonts w:ascii="Times New Roman" w:eastAsia="Times New Roman" w:hAnsi="Times New Roman" w:cs="Times New Roman"/>
          <w:b/>
          <w:color w:val="000000"/>
          <w:sz w:val="24"/>
          <w:szCs w:val="24"/>
        </w:rPr>
      </w:pPr>
    </w:p>
    <w:p w:rsidR="00CF3BA3" w:rsidRPr="00CF3BA3" w:rsidRDefault="00D30885" w:rsidP="006A1347">
      <w:pPr>
        <w:tabs>
          <w:tab w:val="left" w:pos="1650"/>
        </w:tabs>
        <w:spacing w:before="24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Table 20</w:t>
      </w:r>
      <w:r w:rsidR="00CF3BA3" w:rsidRPr="007D3791">
        <w:rPr>
          <w:rFonts w:ascii="Times New Roman" w:eastAsia="Times New Roman" w:hAnsi="Times New Roman" w:cs="Times New Roman"/>
          <w:b/>
          <w:color w:val="000000"/>
          <w:sz w:val="24"/>
          <w:szCs w:val="24"/>
        </w:rPr>
        <w:t xml:space="preserve">:Equality for Means of </w:t>
      </w:r>
      <w:r w:rsidR="00CF3BA3">
        <w:rPr>
          <w:rFonts w:ascii="Times New Roman" w:eastAsia="Times New Roman" w:hAnsi="Times New Roman" w:cs="Times New Roman"/>
          <w:b/>
          <w:color w:val="000000"/>
          <w:sz w:val="24"/>
          <w:szCs w:val="24"/>
        </w:rPr>
        <w:t>Symm</w:t>
      </w:r>
      <w:r w:rsidR="005A4270">
        <w:rPr>
          <w:rFonts w:ascii="Times New Roman" w:eastAsia="Times New Roman" w:hAnsi="Times New Roman" w:cs="Times New Roman"/>
          <w:b/>
          <w:color w:val="000000"/>
          <w:sz w:val="24"/>
          <w:szCs w:val="24"/>
        </w:rPr>
        <w:t>etric Volatility using Multi-</w:t>
      </w:r>
      <w:r w:rsidR="00CF3BA3">
        <w:rPr>
          <w:rFonts w:ascii="Times New Roman" w:eastAsia="Times New Roman" w:hAnsi="Times New Roman" w:cs="Times New Roman"/>
          <w:b/>
          <w:color w:val="000000"/>
          <w:sz w:val="24"/>
          <w:szCs w:val="24"/>
        </w:rPr>
        <w:t>Factor Model</w:t>
      </w:r>
    </w:p>
    <w:tbl>
      <w:tblPr>
        <w:tblStyle w:val="TableGrid"/>
        <w:tblW w:w="7915" w:type="dxa"/>
        <w:tblLook w:val="04A0"/>
      </w:tblPr>
      <w:tblGrid>
        <w:gridCol w:w="1989"/>
        <w:gridCol w:w="1971"/>
        <w:gridCol w:w="1255"/>
        <w:gridCol w:w="1260"/>
        <w:gridCol w:w="1440"/>
      </w:tblGrid>
      <w:tr w:rsidR="00CF3BA3" w:rsidRPr="00CF3BA3" w:rsidTr="008B110D">
        <w:trPr>
          <w:trHeight w:val="300"/>
        </w:trPr>
        <w:tc>
          <w:tcPr>
            <w:tcW w:w="3960" w:type="dxa"/>
            <w:gridSpan w:val="2"/>
            <w:vMerge w:val="restart"/>
            <w:noWrap/>
            <w:hideMark/>
          </w:tcPr>
          <w:p w:rsidR="00CF3BA3" w:rsidRPr="00CF3BA3" w:rsidRDefault="00CF3BA3" w:rsidP="00810396">
            <w:pPr>
              <w:jc w:val="center"/>
              <w:rPr>
                <w:rFonts w:ascii="Times New Roman" w:eastAsia="Times New Roman" w:hAnsi="Times New Roman" w:cs="Times New Roman"/>
                <w:b/>
                <w:bCs/>
                <w:color w:val="000000"/>
              </w:rPr>
            </w:pPr>
            <w:r w:rsidRPr="00CF3BA3">
              <w:rPr>
                <w:rFonts w:ascii="Times New Roman" w:eastAsia="Times New Roman" w:hAnsi="Times New Roman" w:cs="Times New Roman"/>
                <w:b/>
                <w:bCs/>
                <w:color w:val="000000"/>
              </w:rPr>
              <w:t>Tests</w:t>
            </w:r>
          </w:p>
        </w:tc>
        <w:tc>
          <w:tcPr>
            <w:tcW w:w="1255" w:type="dxa"/>
            <w:noWrap/>
            <w:hideMark/>
          </w:tcPr>
          <w:p w:rsidR="00CF3BA3" w:rsidRPr="00CF3BA3" w:rsidRDefault="00CF3BA3" w:rsidP="00810396">
            <w:pPr>
              <w:jc w:val="center"/>
              <w:rPr>
                <w:rFonts w:ascii="Times New Roman" w:eastAsia="Times New Roman" w:hAnsi="Times New Roman" w:cs="Times New Roman"/>
                <w:b/>
                <w:bCs/>
                <w:color w:val="000000"/>
              </w:rPr>
            </w:pPr>
            <w:r w:rsidRPr="00CF3BA3">
              <w:rPr>
                <w:rFonts w:ascii="Times New Roman" w:eastAsia="Times New Roman" w:hAnsi="Times New Roman" w:cs="Times New Roman"/>
                <w:b/>
                <w:bCs/>
                <w:color w:val="000000"/>
              </w:rPr>
              <w:t>df</w:t>
            </w:r>
          </w:p>
        </w:tc>
        <w:tc>
          <w:tcPr>
            <w:tcW w:w="1260" w:type="dxa"/>
            <w:noWrap/>
            <w:hideMark/>
          </w:tcPr>
          <w:p w:rsidR="00CF3BA3" w:rsidRPr="00CF3BA3" w:rsidRDefault="00CF3BA3" w:rsidP="00810396">
            <w:pPr>
              <w:jc w:val="center"/>
              <w:rPr>
                <w:rFonts w:ascii="Times New Roman" w:eastAsia="Times New Roman" w:hAnsi="Times New Roman" w:cs="Times New Roman"/>
                <w:b/>
                <w:bCs/>
                <w:color w:val="000000"/>
              </w:rPr>
            </w:pPr>
            <w:r w:rsidRPr="00CF3BA3">
              <w:rPr>
                <w:rFonts w:ascii="Times New Roman" w:eastAsia="Times New Roman" w:hAnsi="Times New Roman" w:cs="Times New Roman"/>
                <w:b/>
                <w:bCs/>
                <w:color w:val="000000"/>
              </w:rPr>
              <w:t>Value</w:t>
            </w:r>
          </w:p>
        </w:tc>
        <w:tc>
          <w:tcPr>
            <w:tcW w:w="1440" w:type="dxa"/>
            <w:noWrap/>
            <w:hideMark/>
          </w:tcPr>
          <w:p w:rsidR="00CF3BA3" w:rsidRPr="00CF3BA3" w:rsidRDefault="00CF3BA3" w:rsidP="00810396">
            <w:pPr>
              <w:jc w:val="center"/>
              <w:rPr>
                <w:rFonts w:ascii="Times New Roman" w:eastAsia="Times New Roman" w:hAnsi="Times New Roman" w:cs="Times New Roman"/>
                <w:b/>
                <w:bCs/>
                <w:color w:val="000000"/>
              </w:rPr>
            </w:pPr>
            <w:r w:rsidRPr="00CF3BA3">
              <w:rPr>
                <w:rFonts w:ascii="Times New Roman" w:eastAsia="Times New Roman" w:hAnsi="Times New Roman" w:cs="Times New Roman"/>
                <w:b/>
                <w:bCs/>
                <w:color w:val="000000"/>
              </w:rPr>
              <w:t>Probability</w:t>
            </w:r>
          </w:p>
        </w:tc>
      </w:tr>
      <w:tr w:rsidR="00CF3BA3" w:rsidRPr="00CF3BA3" w:rsidTr="008B110D">
        <w:trPr>
          <w:trHeight w:val="300"/>
        </w:trPr>
        <w:tc>
          <w:tcPr>
            <w:tcW w:w="3960" w:type="dxa"/>
            <w:gridSpan w:val="2"/>
            <w:vMerge/>
            <w:hideMark/>
          </w:tcPr>
          <w:p w:rsidR="00CF3BA3" w:rsidRPr="00CF3BA3" w:rsidRDefault="00CF3BA3" w:rsidP="00810396">
            <w:pPr>
              <w:rPr>
                <w:rFonts w:ascii="Times New Roman" w:eastAsia="Times New Roman" w:hAnsi="Times New Roman" w:cs="Times New Roman"/>
                <w:b/>
                <w:bCs/>
                <w:color w:val="000000"/>
              </w:rPr>
            </w:pPr>
          </w:p>
        </w:tc>
        <w:tc>
          <w:tcPr>
            <w:tcW w:w="1255" w:type="dxa"/>
            <w:noWrap/>
            <w:hideMark/>
          </w:tcPr>
          <w:p w:rsidR="00CF3BA3" w:rsidRPr="00CF3BA3" w:rsidRDefault="00CF3BA3" w:rsidP="00810396">
            <w:pPr>
              <w:rPr>
                <w:rFonts w:ascii="Times New Roman" w:eastAsia="Times New Roman" w:hAnsi="Times New Roman" w:cs="Times New Roman"/>
                <w:color w:val="000000"/>
              </w:rPr>
            </w:pPr>
            <w:r w:rsidRPr="00CF3BA3">
              <w:rPr>
                <w:rFonts w:ascii="Times New Roman" w:eastAsia="Times New Roman" w:hAnsi="Times New Roman" w:cs="Times New Roman"/>
                <w:color w:val="000000"/>
              </w:rPr>
              <w:t> </w:t>
            </w:r>
          </w:p>
        </w:tc>
        <w:tc>
          <w:tcPr>
            <w:tcW w:w="1260" w:type="dxa"/>
            <w:noWrap/>
            <w:hideMark/>
          </w:tcPr>
          <w:p w:rsidR="00CF3BA3" w:rsidRPr="00CF3BA3" w:rsidRDefault="00CF3BA3" w:rsidP="00810396">
            <w:pPr>
              <w:rPr>
                <w:rFonts w:ascii="Times New Roman" w:eastAsia="Times New Roman" w:hAnsi="Times New Roman" w:cs="Times New Roman"/>
                <w:color w:val="000000"/>
              </w:rPr>
            </w:pPr>
            <w:r w:rsidRPr="00CF3BA3">
              <w:rPr>
                <w:rFonts w:ascii="Times New Roman" w:eastAsia="Times New Roman" w:hAnsi="Times New Roman" w:cs="Times New Roman"/>
                <w:color w:val="000000"/>
              </w:rPr>
              <w:t> </w:t>
            </w:r>
          </w:p>
        </w:tc>
        <w:tc>
          <w:tcPr>
            <w:tcW w:w="1440" w:type="dxa"/>
            <w:noWrap/>
            <w:hideMark/>
          </w:tcPr>
          <w:p w:rsidR="00CF3BA3" w:rsidRPr="00CF3BA3" w:rsidRDefault="00CF3BA3" w:rsidP="00810396">
            <w:pPr>
              <w:rPr>
                <w:rFonts w:ascii="Times New Roman" w:eastAsia="Times New Roman" w:hAnsi="Times New Roman" w:cs="Times New Roman"/>
                <w:color w:val="000000"/>
              </w:rPr>
            </w:pPr>
            <w:r w:rsidRPr="00CF3BA3">
              <w:rPr>
                <w:rFonts w:ascii="Times New Roman" w:eastAsia="Times New Roman" w:hAnsi="Times New Roman" w:cs="Times New Roman"/>
                <w:color w:val="000000"/>
              </w:rPr>
              <w:t> </w:t>
            </w:r>
          </w:p>
        </w:tc>
      </w:tr>
      <w:tr w:rsidR="00CF3BA3" w:rsidRPr="00CF3BA3" w:rsidTr="008B110D">
        <w:trPr>
          <w:trHeight w:val="300"/>
        </w:trPr>
        <w:tc>
          <w:tcPr>
            <w:tcW w:w="3960" w:type="dxa"/>
            <w:gridSpan w:val="2"/>
            <w:noWrap/>
            <w:hideMark/>
          </w:tcPr>
          <w:p w:rsidR="00CF3BA3" w:rsidRPr="00CF3BA3" w:rsidRDefault="00CF3BA3" w:rsidP="00CF3BA3">
            <w:pPr>
              <w:rPr>
                <w:rFonts w:ascii="Times New Roman" w:eastAsia="Times New Roman" w:hAnsi="Times New Roman" w:cs="Times New Roman"/>
                <w:color w:val="000000"/>
              </w:rPr>
            </w:pPr>
            <w:r w:rsidRPr="00CF3BA3">
              <w:rPr>
                <w:rFonts w:ascii="Times New Roman" w:eastAsia="Times New Roman" w:hAnsi="Times New Roman" w:cs="Times New Roman"/>
                <w:color w:val="000000"/>
              </w:rPr>
              <w:t>t-test</w:t>
            </w:r>
          </w:p>
        </w:tc>
        <w:tc>
          <w:tcPr>
            <w:tcW w:w="1255"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hAnsi="Times New Roman" w:cs="Times New Roman"/>
                <w:bCs/>
                <w:color w:val="000000" w:themeColor="text1"/>
                <w:kern w:val="24"/>
              </w:rPr>
              <w:t>20</w:t>
            </w:r>
          </w:p>
        </w:tc>
        <w:tc>
          <w:tcPr>
            <w:tcW w:w="1260"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eastAsia="Calibri" w:hAnsi="Times New Roman" w:cs="Times New Roman"/>
                <w:bCs/>
                <w:color w:val="000000" w:themeColor="text1"/>
                <w:kern w:val="24"/>
              </w:rPr>
              <w:t>7.930</w:t>
            </w:r>
          </w:p>
        </w:tc>
        <w:tc>
          <w:tcPr>
            <w:tcW w:w="1440"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hAnsi="Times New Roman" w:cs="Times New Roman"/>
                <w:bCs/>
                <w:color w:val="000000" w:themeColor="text1"/>
                <w:kern w:val="24"/>
              </w:rPr>
              <w:t>0.000</w:t>
            </w:r>
          </w:p>
        </w:tc>
      </w:tr>
      <w:tr w:rsidR="00CF3BA3" w:rsidRPr="00CF3BA3" w:rsidTr="008B110D">
        <w:trPr>
          <w:trHeight w:val="300"/>
        </w:trPr>
        <w:tc>
          <w:tcPr>
            <w:tcW w:w="3960" w:type="dxa"/>
            <w:gridSpan w:val="2"/>
            <w:noWrap/>
            <w:hideMark/>
          </w:tcPr>
          <w:p w:rsidR="00CF3BA3" w:rsidRPr="00CF3BA3" w:rsidRDefault="00CF3BA3" w:rsidP="00CF3BA3">
            <w:pPr>
              <w:rPr>
                <w:rFonts w:ascii="Times New Roman" w:eastAsia="Times New Roman" w:hAnsi="Times New Roman" w:cs="Times New Roman"/>
                <w:color w:val="000000"/>
              </w:rPr>
            </w:pPr>
            <w:r w:rsidRPr="00CF3BA3">
              <w:rPr>
                <w:rFonts w:ascii="Times New Roman" w:eastAsia="Times New Roman" w:hAnsi="Times New Roman" w:cs="Times New Roman"/>
                <w:color w:val="000000"/>
              </w:rPr>
              <w:t>Satterthwaite-Welch t-test*</w:t>
            </w:r>
          </w:p>
        </w:tc>
        <w:tc>
          <w:tcPr>
            <w:tcW w:w="1255"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hAnsi="Times New Roman" w:cs="Times New Roman"/>
                <w:bCs/>
                <w:color w:val="000000" w:themeColor="text1"/>
                <w:kern w:val="24"/>
              </w:rPr>
              <w:t>19.905</w:t>
            </w:r>
          </w:p>
        </w:tc>
        <w:tc>
          <w:tcPr>
            <w:tcW w:w="1260"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eastAsia="Calibri" w:hAnsi="Times New Roman" w:cs="Times New Roman"/>
                <w:bCs/>
                <w:color w:val="000000" w:themeColor="text1"/>
                <w:kern w:val="24"/>
              </w:rPr>
              <w:t>7.930</w:t>
            </w:r>
          </w:p>
        </w:tc>
        <w:tc>
          <w:tcPr>
            <w:tcW w:w="1440"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hAnsi="Times New Roman" w:cs="Times New Roman"/>
                <w:bCs/>
                <w:color w:val="000000" w:themeColor="text1"/>
                <w:kern w:val="24"/>
              </w:rPr>
              <w:t>0.000</w:t>
            </w:r>
          </w:p>
        </w:tc>
      </w:tr>
      <w:tr w:rsidR="00CF3BA3" w:rsidRPr="00CF3BA3" w:rsidTr="008B110D">
        <w:trPr>
          <w:trHeight w:val="300"/>
        </w:trPr>
        <w:tc>
          <w:tcPr>
            <w:tcW w:w="3960" w:type="dxa"/>
            <w:gridSpan w:val="2"/>
            <w:noWrap/>
            <w:hideMark/>
          </w:tcPr>
          <w:p w:rsidR="00CF3BA3" w:rsidRPr="00CF3BA3" w:rsidRDefault="00CF3BA3" w:rsidP="00CF3BA3">
            <w:pPr>
              <w:rPr>
                <w:rFonts w:ascii="Times New Roman" w:eastAsia="Times New Roman" w:hAnsi="Times New Roman" w:cs="Times New Roman"/>
                <w:color w:val="000000"/>
              </w:rPr>
            </w:pPr>
            <w:r w:rsidRPr="00CF3BA3">
              <w:rPr>
                <w:rFonts w:ascii="Times New Roman" w:eastAsia="Times New Roman" w:hAnsi="Times New Roman" w:cs="Times New Roman"/>
                <w:color w:val="000000"/>
              </w:rPr>
              <w:t>Anova F-test</w:t>
            </w:r>
          </w:p>
        </w:tc>
        <w:tc>
          <w:tcPr>
            <w:tcW w:w="1255"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hAnsi="Times New Roman" w:cs="Times New Roman"/>
                <w:bCs/>
                <w:color w:val="000000" w:themeColor="text1"/>
                <w:kern w:val="24"/>
              </w:rPr>
              <w:t>(1, 20)</w:t>
            </w:r>
          </w:p>
        </w:tc>
        <w:tc>
          <w:tcPr>
            <w:tcW w:w="1260"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eastAsia="Calibri" w:hAnsi="Times New Roman" w:cs="Times New Roman"/>
                <w:bCs/>
                <w:color w:val="000000" w:themeColor="text1"/>
                <w:kern w:val="24"/>
              </w:rPr>
              <w:t>62.898</w:t>
            </w:r>
          </w:p>
        </w:tc>
        <w:tc>
          <w:tcPr>
            <w:tcW w:w="1440"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hAnsi="Times New Roman" w:cs="Times New Roman"/>
                <w:bCs/>
                <w:color w:val="000000" w:themeColor="text1"/>
                <w:kern w:val="24"/>
              </w:rPr>
              <w:t>0.000</w:t>
            </w:r>
          </w:p>
        </w:tc>
      </w:tr>
      <w:tr w:rsidR="00CF3BA3" w:rsidRPr="00CF3BA3" w:rsidTr="008B110D">
        <w:trPr>
          <w:trHeight w:val="300"/>
        </w:trPr>
        <w:tc>
          <w:tcPr>
            <w:tcW w:w="3960" w:type="dxa"/>
            <w:gridSpan w:val="2"/>
            <w:noWrap/>
            <w:hideMark/>
          </w:tcPr>
          <w:p w:rsidR="00CF3BA3" w:rsidRPr="00CF3BA3" w:rsidRDefault="00CF3BA3" w:rsidP="00CF3BA3">
            <w:pPr>
              <w:rPr>
                <w:rFonts w:ascii="Times New Roman" w:eastAsia="Times New Roman" w:hAnsi="Times New Roman" w:cs="Times New Roman"/>
                <w:color w:val="000000"/>
              </w:rPr>
            </w:pPr>
            <w:r w:rsidRPr="00CF3BA3">
              <w:rPr>
                <w:rFonts w:ascii="Times New Roman" w:eastAsia="Times New Roman" w:hAnsi="Times New Roman" w:cs="Times New Roman"/>
                <w:color w:val="000000"/>
              </w:rPr>
              <w:t>Welch F-test*</w:t>
            </w:r>
          </w:p>
        </w:tc>
        <w:tc>
          <w:tcPr>
            <w:tcW w:w="1255"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hAnsi="Times New Roman" w:cs="Times New Roman"/>
                <w:bCs/>
                <w:color w:val="000000" w:themeColor="text1"/>
                <w:kern w:val="24"/>
              </w:rPr>
              <w:t>(1,19.905)</w:t>
            </w:r>
          </w:p>
        </w:tc>
        <w:tc>
          <w:tcPr>
            <w:tcW w:w="1260"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eastAsia="Calibri" w:hAnsi="Times New Roman" w:cs="Times New Roman"/>
                <w:bCs/>
                <w:color w:val="000000" w:themeColor="text1"/>
                <w:kern w:val="24"/>
              </w:rPr>
              <w:t>62.898</w:t>
            </w:r>
          </w:p>
        </w:tc>
        <w:tc>
          <w:tcPr>
            <w:tcW w:w="1440"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hAnsi="Times New Roman" w:cs="Times New Roman"/>
                <w:bCs/>
                <w:color w:val="000000" w:themeColor="text1"/>
                <w:kern w:val="24"/>
              </w:rPr>
              <w:t>0.000</w:t>
            </w:r>
          </w:p>
        </w:tc>
      </w:tr>
      <w:tr w:rsidR="00CF3BA3" w:rsidRPr="00CF3BA3" w:rsidTr="008B110D">
        <w:trPr>
          <w:trHeight w:val="300"/>
        </w:trPr>
        <w:tc>
          <w:tcPr>
            <w:tcW w:w="1989" w:type="dxa"/>
            <w:noWrap/>
            <w:hideMark/>
          </w:tcPr>
          <w:p w:rsidR="00CF3BA3" w:rsidRPr="00CF3BA3" w:rsidRDefault="00CF3BA3" w:rsidP="00810396">
            <w:pPr>
              <w:rPr>
                <w:rFonts w:ascii="Times New Roman" w:eastAsia="Times New Roman" w:hAnsi="Times New Roman" w:cs="Times New Roman"/>
                <w:color w:val="000000"/>
              </w:rPr>
            </w:pPr>
          </w:p>
          <w:p w:rsidR="00CF3BA3" w:rsidRPr="00CF3BA3" w:rsidRDefault="00CF3BA3" w:rsidP="00810396">
            <w:pPr>
              <w:jc w:val="right"/>
              <w:rPr>
                <w:rFonts w:ascii="Times New Roman" w:eastAsia="Times New Roman" w:hAnsi="Times New Roman" w:cs="Times New Roman"/>
                <w:color w:val="000000"/>
              </w:rPr>
            </w:pPr>
          </w:p>
        </w:tc>
        <w:tc>
          <w:tcPr>
            <w:tcW w:w="1971" w:type="dxa"/>
            <w:noWrap/>
            <w:hideMark/>
          </w:tcPr>
          <w:p w:rsidR="00CF3BA3" w:rsidRPr="00CF3BA3" w:rsidRDefault="00CF3BA3" w:rsidP="00810396">
            <w:pPr>
              <w:rPr>
                <w:rFonts w:ascii="Times New Roman" w:eastAsia="Times New Roman" w:hAnsi="Times New Roman" w:cs="Times New Roman"/>
              </w:rPr>
            </w:pPr>
          </w:p>
        </w:tc>
        <w:tc>
          <w:tcPr>
            <w:tcW w:w="1255" w:type="dxa"/>
            <w:noWrap/>
            <w:hideMark/>
          </w:tcPr>
          <w:p w:rsidR="00CF3BA3" w:rsidRPr="00CF3BA3" w:rsidRDefault="00CF3BA3" w:rsidP="00810396">
            <w:pPr>
              <w:rPr>
                <w:rFonts w:ascii="Times New Roman" w:eastAsia="Times New Roman" w:hAnsi="Times New Roman" w:cs="Times New Roman"/>
              </w:rPr>
            </w:pPr>
          </w:p>
        </w:tc>
        <w:tc>
          <w:tcPr>
            <w:tcW w:w="1260" w:type="dxa"/>
            <w:noWrap/>
            <w:hideMark/>
          </w:tcPr>
          <w:p w:rsidR="00CF3BA3" w:rsidRPr="00CF3BA3" w:rsidRDefault="00CF3BA3" w:rsidP="00810396">
            <w:pPr>
              <w:rPr>
                <w:rFonts w:ascii="Times New Roman" w:eastAsia="Times New Roman" w:hAnsi="Times New Roman" w:cs="Times New Roman"/>
              </w:rPr>
            </w:pPr>
          </w:p>
        </w:tc>
        <w:tc>
          <w:tcPr>
            <w:tcW w:w="1440" w:type="dxa"/>
            <w:noWrap/>
            <w:hideMark/>
          </w:tcPr>
          <w:p w:rsidR="00CF3BA3" w:rsidRPr="00CF3BA3" w:rsidRDefault="00CF3BA3" w:rsidP="00810396">
            <w:pPr>
              <w:rPr>
                <w:rFonts w:ascii="Times New Roman" w:eastAsia="Times New Roman" w:hAnsi="Times New Roman" w:cs="Times New Roman"/>
              </w:rPr>
            </w:pPr>
          </w:p>
        </w:tc>
      </w:tr>
      <w:tr w:rsidR="00CF3BA3" w:rsidRPr="00CF3BA3" w:rsidTr="008B110D">
        <w:trPr>
          <w:trHeight w:val="300"/>
        </w:trPr>
        <w:tc>
          <w:tcPr>
            <w:tcW w:w="1989" w:type="dxa"/>
            <w:vMerge w:val="restart"/>
            <w:noWrap/>
            <w:hideMark/>
          </w:tcPr>
          <w:p w:rsidR="00CF3BA3" w:rsidRPr="00CF3BA3" w:rsidRDefault="00CF3BA3" w:rsidP="00810396">
            <w:pPr>
              <w:jc w:val="center"/>
              <w:rPr>
                <w:rFonts w:ascii="Times New Roman" w:eastAsia="Times New Roman" w:hAnsi="Times New Roman" w:cs="Times New Roman"/>
                <w:b/>
                <w:bCs/>
                <w:color w:val="000000"/>
              </w:rPr>
            </w:pPr>
            <w:r w:rsidRPr="00CF3BA3">
              <w:rPr>
                <w:rFonts w:ascii="Times New Roman" w:eastAsia="Times New Roman" w:hAnsi="Times New Roman" w:cs="Times New Roman"/>
                <w:b/>
                <w:bCs/>
                <w:color w:val="000000"/>
              </w:rPr>
              <w:t>Variable</w:t>
            </w:r>
          </w:p>
        </w:tc>
        <w:tc>
          <w:tcPr>
            <w:tcW w:w="1971" w:type="dxa"/>
            <w:vMerge w:val="restart"/>
            <w:noWrap/>
            <w:hideMark/>
          </w:tcPr>
          <w:p w:rsidR="00CF3BA3" w:rsidRPr="00CF3BA3" w:rsidRDefault="00CF3BA3" w:rsidP="00810396">
            <w:pPr>
              <w:jc w:val="center"/>
              <w:rPr>
                <w:rFonts w:ascii="Times New Roman" w:eastAsia="Times New Roman" w:hAnsi="Times New Roman" w:cs="Times New Roman"/>
                <w:b/>
                <w:bCs/>
                <w:color w:val="000000"/>
              </w:rPr>
            </w:pPr>
            <w:r w:rsidRPr="00CF3BA3">
              <w:rPr>
                <w:rFonts w:ascii="Times New Roman" w:eastAsia="Times New Roman" w:hAnsi="Times New Roman" w:cs="Times New Roman"/>
                <w:b/>
                <w:bCs/>
                <w:color w:val="000000"/>
              </w:rPr>
              <w:t>Observations</w:t>
            </w:r>
          </w:p>
        </w:tc>
        <w:tc>
          <w:tcPr>
            <w:tcW w:w="1255" w:type="dxa"/>
            <w:vMerge w:val="restart"/>
            <w:noWrap/>
            <w:hideMark/>
          </w:tcPr>
          <w:p w:rsidR="00CF3BA3" w:rsidRPr="00CF3BA3" w:rsidRDefault="00CF3BA3" w:rsidP="00810396">
            <w:pPr>
              <w:jc w:val="center"/>
              <w:rPr>
                <w:rFonts w:ascii="Times New Roman" w:eastAsia="Times New Roman" w:hAnsi="Times New Roman" w:cs="Times New Roman"/>
                <w:b/>
                <w:bCs/>
                <w:color w:val="000000"/>
              </w:rPr>
            </w:pPr>
            <w:r w:rsidRPr="00CF3BA3">
              <w:rPr>
                <w:rFonts w:ascii="Times New Roman" w:eastAsia="Times New Roman" w:hAnsi="Times New Roman" w:cs="Times New Roman"/>
                <w:b/>
                <w:bCs/>
                <w:color w:val="000000"/>
              </w:rPr>
              <w:t>Mean</w:t>
            </w:r>
          </w:p>
        </w:tc>
        <w:tc>
          <w:tcPr>
            <w:tcW w:w="1260" w:type="dxa"/>
            <w:vMerge w:val="restart"/>
            <w:noWrap/>
            <w:hideMark/>
          </w:tcPr>
          <w:p w:rsidR="00CF3BA3" w:rsidRPr="00CF3BA3" w:rsidRDefault="00CF3BA3" w:rsidP="00810396">
            <w:pPr>
              <w:jc w:val="center"/>
              <w:rPr>
                <w:rFonts w:ascii="Times New Roman" w:eastAsia="Times New Roman" w:hAnsi="Times New Roman" w:cs="Times New Roman"/>
                <w:b/>
                <w:bCs/>
                <w:color w:val="000000"/>
              </w:rPr>
            </w:pPr>
            <w:r w:rsidRPr="00CF3BA3">
              <w:rPr>
                <w:rFonts w:ascii="Times New Roman" w:eastAsia="Times New Roman" w:hAnsi="Times New Roman" w:cs="Times New Roman"/>
                <w:b/>
                <w:bCs/>
                <w:color w:val="000000"/>
              </w:rPr>
              <w:t>Std. Dev.</w:t>
            </w:r>
          </w:p>
        </w:tc>
        <w:tc>
          <w:tcPr>
            <w:tcW w:w="1440" w:type="dxa"/>
            <w:vMerge w:val="restart"/>
            <w:hideMark/>
          </w:tcPr>
          <w:p w:rsidR="00CF3BA3" w:rsidRPr="00CF3BA3" w:rsidRDefault="00CF3BA3" w:rsidP="00810396">
            <w:pPr>
              <w:jc w:val="center"/>
              <w:rPr>
                <w:rFonts w:ascii="Times New Roman" w:eastAsia="Times New Roman" w:hAnsi="Times New Roman" w:cs="Times New Roman"/>
                <w:b/>
                <w:bCs/>
                <w:color w:val="000000"/>
              </w:rPr>
            </w:pPr>
            <w:r w:rsidRPr="00CF3BA3">
              <w:rPr>
                <w:rFonts w:ascii="Times New Roman" w:eastAsia="Times New Roman" w:hAnsi="Times New Roman" w:cs="Times New Roman"/>
                <w:b/>
                <w:bCs/>
                <w:color w:val="000000"/>
              </w:rPr>
              <w:t>Std. Err. Of Mean</w:t>
            </w:r>
          </w:p>
        </w:tc>
      </w:tr>
      <w:tr w:rsidR="00CF3BA3" w:rsidRPr="00CF3BA3" w:rsidTr="008B110D">
        <w:trPr>
          <w:trHeight w:val="450"/>
        </w:trPr>
        <w:tc>
          <w:tcPr>
            <w:tcW w:w="1989" w:type="dxa"/>
            <w:vMerge/>
            <w:hideMark/>
          </w:tcPr>
          <w:p w:rsidR="00CF3BA3" w:rsidRPr="00CF3BA3" w:rsidRDefault="00CF3BA3" w:rsidP="00810396">
            <w:pPr>
              <w:rPr>
                <w:rFonts w:ascii="Times New Roman" w:eastAsia="Times New Roman" w:hAnsi="Times New Roman" w:cs="Times New Roman"/>
                <w:b/>
                <w:bCs/>
                <w:color w:val="000000"/>
              </w:rPr>
            </w:pPr>
          </w:p>
        </w:tc>
        <w:tc>
          <w:tcPr>
            <w:tcW w:w="1971" w:type="dxa"/>
            <w:vMerge/>
            <w:hideMark/>
          </w:tcPr>
          <w:p w:rsidR="00CF3BA3" w:rsidRPr="00CF3BA3" w:rsidRDefault="00CF3BA3" w:rsidP="00810396">
            <w:pPr>
              <w:rPr>
                <w:rFonts w:ascii="Times New Roman" w:eastAsia="Times New Roman" w:hAnsi="Times New Roman" w:cs="Times New Roman"/>
                <w:b/>
                <w:bCs/>
                <w:color w:val="000000"/>
              </w:rPr>
            </w:pPr>
          </w:p>
        </w:tc>
        <w:tc>
          <w:tcPr>
            <w:tcW w:w="1255" w:type="dxa"/>
            <w:vMerge/>
            <w:hideMark/>
          </w:tcPr>
          <w:p w:rsidR="00CF3BA3" w:rsidRPr="00CF3BA3" w:rsidRDefault="00CF3BA3" w:rsidP="00810396">
            <w:pPr>
              <w:rPr>
                <w:rFonts w:ascii="Times New Roman" w:eastAsia="Times New Roman" w:hAnsi="Times New Roman" w:cs="Times New Roman"/>
                <w:bCs/>
                <w:color w:val="000000"/>
              </w:rPr>
            </w:pPr>
          </w:p>
        </w:tc>
        <w:tc>
          <w:tcPr>
            <w:tcW w:w="1260" w:type="dxa"/>
            <w:vMerge/>
            <w:hideMark/>
          </w:tcPr>
          <w:p w:rsidR="00CF3BA3" w:rsidRPr="00CF3BA3" w:rsidRDefault="00CF3BA3" w:rsidP="00810396">
            <w:pPr>
              <w:rPr>
                <w:rFonts w:ascii="Times New Roman" w:eastAsia="Times New Roman" w:hAnsi="Times New Roman" w:cs="Times New Roman"/>
                <w:bCs/>
                <w:color w:val="000000"/>
              </w:rPr>
            </w:pPr>
          </w:p>
        </w:tc>
        <w:tc>
          <w:tcPr>
            <w:tcW w:w="1440" w:type="dxa"/>
            <w:vMerge/>
            <w:hideMark/>
          </w:tcPr>
          <w:p w:rsidR="00CF3BA3" w:rsidRPr="00CF3BA3" w:rsidRDefault="00CF3BA3" w:rsidP="00810396">
            <w:pPr>
              <w:rPr>
                <w:rFonts w:ascii="Times New Roman" w:eastAsia="Times New Roman" w:hAnsi="Times New Roman" w:cs="Times New Roman"/>
                <w:bCs/>
                <w:color w:val="000000"/>
              </w:rPr>
            </w:pPr>
          </w:p>
        </w:tc>
      </w:tr>
      <w:tr w:rsidR="00CF3BA3" w:rsidRPr="00CF3BA3" w:rsidTr="008B110D">
        <w:trPr>
          <w:trHeight w:val="300"/>
        </w:trPr>
        <w:tc>
          <w:tcPr>
            <w:tcW w:w="1989" w:type="dxa"/>
            <w:noWrap/>
            <w:hideMark/>
          </w:tcPr>
          <w:p w:rsidR="00CF3BA3" w:rsidRPr="00CF3BA3" w:rsidRDefault="00CF3BA3" w:rsidP="00CF3BA3">
            <w:pPr>
              <w:rPr>
                <w:rFonts w:ascii="Times New Roman" w:eastAsia="Times New Roman" w:hAnsi="Times New Roman" w:cs="Times New Roman"/>
                <w:color w:val="000000"/>
              </w:rPr>
            </w:pPr>
            <w:r w:rsidRPr="00CF3BA3">
              <w:rPr>
                <w:rFonts w:ascii="Times New Roman" w:eastAsia="Times New Roman" w:hAnsi="Times New Roman" w:cs="Times New Roman"/>
                <w:color w:val="000000"/>
              </w:rPr>
              <w:t>SymVolatility_FL</w:t>
            </w:r>
          </w:p>
        </w:tc>
        <w:tc>
          <w:tcPr>
            <w:tcW w:w="1971"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eastAsia="Times New Roman" w:hAnsi="Times New Roman" w:cs="Times New Roman"/>
                <w:color w:val="000000"/>
              </w:rPr>
              <w:t>11</w:t>
            </w:r>
          </w:p>
        </w:tc>
        <w:tc>
          <w:tcPr>
            <w:tcW w:w="1255"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eastAsiaTheme="minorEastAsia" w:hAnsi="Times New Roman" w:cs="Times New Roman"/>
                <w:bCs/>
                <w:color w:val="000000" w:themeColor="text1"/>
                <w:kern w:val="24"/>
              </w:rPr>
              <w:t>1.8792</w:t>
            </w:r>
          </w:p>
        </w:tc>
        <w:tc>
          <w:tcPr>
            <w:tcW w:w="1260" w:type="dxa"/>
            <w:noWrap/>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hAnsi="Times New Roman" w:cs="Times New Roman"/>
                <w:bCs/>
                <w:color w:val="000000" w:themeColor="text1"/>
                <w:kern w:val="24"/>
              </w:rPr>
              <w:t>0.098</w:t>
            </w:r>
          </w:p>
        </w:tc>
        <w:tc>
          <w:tcPr>
            <w:tcW w:w="1440" w:type="dxa"/>
            <w:noWrap/>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hAnsi="Times New Roman" w:cs="Times New Roman"/>
                <w:bCs/>
                <w:color w:val="000000" w:themeColor="text1"/>
                <w:kern w:val="24"/>
              </w:rPr>
              <w:t>0.029</w:t>
            </w:r>
          </w:p>
        </w:tc>
      </w:tr>
      <w:tr w:rsidR="00CF3BA3" w:rsidRPr="00CF3BA3" w:rsidTr="008B110D">
        <w:trPr>
          <w:trHeight w:val="300"/>
        </w:trPr>
        <w:tc>
          <w:tcPr>
            <w:tcW w:w="1989" w:type="dxa"/>
            <w:noWrap/>
            <w:hideMark/>
          </w:tcPr>
          <w:p w:rsidR="00CF3BA3" w:rsidRPr="00CF3BA3" w:rsidRDefault="00CF3BA3" w:rsidP="00CF3BA3">
            <w:pPr>
              <w:rPr>
                <w:rFonts w:ascii="Times New Roman" w:eastAsia="Times New Roman" w:hAnsi="Times New Roman" w:cs="Times New Roman"/>
                <w:color w:val="000000"/>
              </w:rPr>
            </w:pPr>
            <w:r w:rsidRPr="00CF3BA3">
              <w:rPr>
                <w:rFonts w:ascii="Times New Roman" w:eastAsia="Times New Roman" w:hAnsi="Times New Roman" w:cs="Times New Roman"/>
                <w:color w:val="000000"/>
              </w:rPr>
              <w:t>SymVolatility_NFL</w:t>
            </w:r>
          </w:p>
        </w:tc>
        <w:tc>
          <w:tcPr>
            <w:tcW w:w="1971"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eastAsia="Times New Roman" w:hAnsi="Times New Roman" w:cs="Times New Roman"/>
                <w:color w:val="000000"/>
              </w:rPr>
              <w:t>11</w:t>
            </w:r>
          </w:p>
        </w:tc>
        <w:tc>
          <w:tcPr>
            <w:tcW w:w="1255"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hAnsi="Times New Roman" w:cs="Times New Roman"/>
                <w:bCs/>
                <w:color w:val="000000" w:themeColor="text1"/>
                <w:kern w:val="24"/>
              </w:rPr>
              <w:t>1.5351</w:t>
            </w:r>
          </w:p>
        </w:tc>
        <w:tc>
          <w:tcPr>
            <w:tcW w:w="1260" w:type="dxa"/>
            <w:noWrap/>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eastAsiaTheme="minorEastAsia" w:hAnsi="Times New Roman" w:cs="Times New Roman"/>
                <w:bCs/>
                <w:color w:val="000000" w:themeColor="text1"/>
                <w:kern w:val="24"/>
              </w:rPr>
              <w:t>0.105</w:t>
            </w:r>
          </w:p>
        </w:tc>
        <w:tc>
          <w:tcPr>
            <w:tcW w:w="1440" w:type="dxa"/>
            <w:noWrap/>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hAnsi="Times New Roman" w:cs="Times New Roman"/>
                <w:color w:val="000000" w:themeColor="text1"/>
                <w:kern w:val="24"/>
              </w:rPr>
              <w:t>0.031</w:t>
            </w:r>
          </w:p>
        </w:tc>
      </w:tr>
      <w:tr w:rsidR="00CF3BA3" w:rsidRPr="00CF3BA3" w:rsidTr="008B110D">
        <w:trPr>
          <w:trHeight w:val="300"/>
        </w:trPr>
        <w:tc>
          <w:tcPr>
            <w:tcW w:w="1989" w:type="dxa"/>
            <w:noWrap/>
            <w:hideMark/>
          </w:tcPr>
          <w:p w:rsidR="00CF3BA3" w:rsidRPr="00CF3BA3" w:rsidRDefault="00CF3BA3" w:rsidP="00CF3BA3">
            <w:pPr>
              <w:rPr>
                <w:rFonts w:ascii="Times New Roman" w:eastAsia="Times New Roman" w:hAnsi="Times New Roman" w:cs="Times New Roman"/>
                <w:color w:val="000000"/>
              </w:rPr>
            </w:pPr>
            <w:r w:rsidRPr="00CF3BA3">
              <w:rPr>
                <w:rFonts w:ascii="Times New Roman" w:eastAsia="Times New Roman" w:hAnsi="Times New Roman" w:cs="Times New Roman"/>
                <w:color w:val="000000"/>
              </w:rPr>
              <w:t>All</w:t>
            </w:r>
          </w:p>
        </w:tc>
        <w:tc>
          <w:tcPr>
            <w:tcW w:w="1971" w:type="dxa"/>
            <w:noWrap/>
            <w:hideMark/>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eastAsia="Times New Roman" w:hAnsi="Times New Roman" w:cs="Times New Roman"/>
                <w:color w:val="000000"/>
              </w:rPr>
              <w:t>22</w:t>
            </w:r>
          </w:p>
        </w:tc>
        <w:tc>
          <w:tcPr>
            <w:tcW w:w="1255" w:type="dxa"/>
            <w:noWrap/>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eastAsiaTheme="minorEastAsia" w:hAnsi="Times New Roman" w:cs="Times New Roman"/>
                <w:bCs/>
                <w:color w:val="000000" w:themeColor="text1"/>
                <w:kern w:val="24"/>
              </w:rPr>
              <w:t>1.7070</w:t>
            </w:r>
          </w:p>
        </w:tc>
        <w:tc>
          <w:tcPr>
            <w:tcW w:w="1260" w:type="dxa"/>
            <w:noWrap/>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hAnsi="Times New Roman" w:cs="Times New Roman"/>
                <w:bCs/>
                <w:color w:val="000000" w:themeColor="text1"/>
                <w:kern w:val="24"/>
              </w:rPr>
              <w:t>0.202</w:t>
            </w:r>
          </w:p>
        </w:tc>
        <w:tc>
          <w:tcPr>
            <w:tcW w:w="1440" w:type="dxa"/>
            <w:noWrap/>
          </w:tcPr>
          <w:p w:rsidR="00CF3BA3" w:rsidRPr="00CF3BA3" w:rsidRDefault="00CF3BA3" w:rsidP="00CF3BA3">
            <w:pPr>
              <w:jc w:val="right"/>
              <w:rPr>
                <w:rFonts w:ascii="Times New Roman" w:eastAsia="Times New Roman" w:hAnsi="Times New Roman" w:cs="Times New Roman"/>
                <w:color w:val="000000"/>
              </w:rPr>
            </w:pPr>
            <w:r w:rsidRPr="00CF3BA3">
              <w:rPr>
                <w:rFonts w:ascii="Times New Roman" w:hAnsi="Times New Roman" w:cs="Times New Roman"/>
                <w:color w:val="000000" w:themeColor="text1"/>
                <w:kern w:val="24"/>
              </w:rPr>
              <w:t>0.043</w:t>
            </w:r>
          </w:p>
        </w:tc>
      </w:tr>
    </w:tbl>
    <w:p w:rsidR="00704F77" w:rsidRPr="00033D3C" w:rsidRDefault="00B04A7E" w:rsidP="0037054C">
      <w:pPr>
        <w:tabs>
          <w:tab w:val="left" w:pos="1650"/>
        </w:tabs>
        <w:spacing w:before="240" w:line="480" w:lineRule="auto"/>
        <w:jc w:val="both"/>
        <w:rPr>
          <w:rFonts w:ascii="Times New Roman" w:hAnsi="Times New Roman" w:cs="Times New Roman"/>
          <w:color w:val="000000" w:themeColor="text1"/>
          <w:sz w:val="24"/>
        </w:rPr>
      </w:pPr>
      <w:r w:rsidRPr="00033D3C">
        <w:rPr>
          <w:rFonts w:ascii="Times New Roman" w:hAnsi="Times New Roman" w:cs="Times New Roman"/>
          <w:color w:val="000000" w:themeColor="text1"/>
          <w:sz w:val="24"/>
        </w:rPr>
        <w:t>Now, by analyzing the means of symmetric volatility i.e. conditiona</w:t>
      </w:r>
      <w:r w:rsidR="00BD1926">
        <w:rPr>
          <w:rFonts w:ascii="Times New Roman" w:hAnsi="Times New Roman" w:cs="Times New Roman"/>
          <w:color w:val="000000" w:themeColor="text1"/>
          <w:sz w:val="24"/>
        </w:rPr>
        <w:t>l standard deviation in Table 19 and 20</w:t>
      </w:r>
      <w:r w:rsidRPr="00033D3C">
        <w:rPr>
          <w:rFonts w:ascii="Times New Roman" w:hAnsi="Times New Roman" w:cs="Times New Roman"/>
          <w:color w:val="000000" w:themeColor="text1"/>
          <w:sz w:val="24"/>
        </w:rPr>
        <w:t xml:space="preserve"> , we ca</w:t>
      </w:r>
      <w:r w:rsidR="0067293E" w:rsidRPr="00033D3C">
        <w:rPr>
          <w:rFonts w:ascii="Times New Roman" w:hAnsi="Times New Roman" w:cs="Times New Roman"/>
          <w:color w:val="000000" w:themeColor="text1"/>
          <w:sz w:val="24"/>
        </w:rPr>
        <w:t>n assess that the means are al</w:t>
      </w:r>
      <w:r w:rsidR="00BD1926">
        <w:rPr>
          <w:rFonts w:ascii="Times New Roman" w:hAnsi="Times New Roman" w:cs="Times New Roman"/>
          <w:color w:val="000000" w:themeColor="text1"/>
          <w:sz w:val="24"/>
        </w:rPr>
        <w:t>most same using CAPM in table 19</w:t>
      </w:r>
      <w:r w:rsidR="0067293E" w:rsidRPr="00033D3C">
        <w:rPr>
          <w:rFonts w:ascii="Times New Roman" w:hAnsi="Times New Roman" w:cs="Times New Roman"/>
          <w:color w:val="000000" w:themeColor="text1"/>
          <w:sz w:val="24"/>
        </w:rPr>
        <w:t>, so we cannot reject our null hypothesis at 1%. However, it is made evident from t</w:t>
      </w:r>
      <w:r w:rsidR="00EF2FC8">
        <w:rPr>
          <w:rFonts w:ascii="Times New Roman" w:hAnsi="Times New Roman" w:cs="Times New Roman"/>
          <w:color w:val="000000" w:themeColor="text1"/>
          <w:sz w:val="24"/>
        </w:rPr>
        <w:t>he results displayed in table 20</w:t>
      </w:r>
      <w:r w:rsidR="0067293E" w:rsidRPr="00033D3C">
        <w:rPr>
          <w:rFonts w:ascii="Times New Roman" w:hAnsi="Times New Roman" w:cs="Times New Roman"/>
          <w:color w:val="000000" w:themeColor="text1"/>
          <w:sz w:val="24"/>
        </w:rPr>
        <w:t xml:space="preserve"> that the means of symmetric volatility using Multiple Factor Model are significantly different </w:t>
      </w:r>
      <w:r w:rsidR="0067293E" w:rsidRPr="00033D3C">
        <w:rPr>
          <w:rFonts w:ascii="Times New Roman" w:hAnsi="Times New Roman" w:cs="Times New Roman"/>
          <w:color w:val="000000" w:themeColor="text1"/>
          <w:sz w:val="24"/>
        </w:rPr>
        <w:lastRenderedPageBreak/>
        <w:t>and volatility is high for stocks with futures listing. So, we can reject our Null Hypothesis in</w:t>
      </w:r>
      <w:bookmarkStart w:id="22" w:name="_Toc520219906"/>
      <w:r w:rsidR="00D412C3">
        <w:rPr>
          <w:rFonts w:ascii="Times New Roman" w:hAnsi="Times New Roman" w:cs="Times New Roman"/>
          <w:color w:val="000000" w:themeColor="text1"/>
          <w:sz w:val="24"/>
        </w:rPr>
        <w:t xml:space="preserve"> case of Multi-</w:t>
      </w:r>
      <w:r w:rsidR="0037054C" w:rsidRPr="00033D3C">
        <w:rPr>
          <w:rFonts w:ascii="Times New Roman" w:hAnsi="Times New Roman" w:cs="Times New Roman"/>
          <w:color w:val="000000" w:themeColor="text1"/>
          <w:sz w:val="24"/>
        </w:rPr>
        <w:t>factor model.</w:t>
      </w:r>
    </w:p>
    <w:p w:rsidR="00C27353" w:rsidRDefault="006A2F24" w:rsidP="00C27353">
      <w:pPr>
        <w:pStyle w:val="Heading1"/>
        <w:rPr>
          <w:rFonts w:ascii="Times New Roman" w:hAnsi="Times New Roman" w:cs="Times New Roman"/>
          <w:b/>
          <w:color w:val="000000" w:themeColor="text1"/>
          <w:sz w:val="28"/>
        </w:rPr>
      </w:pPr>
      <w:r>
        <w:rPr>
          <w:rFonts w:ascii="Times New Roman" w:hAnsi="Times New Roman" w:cs="Times New Roman"/>
          <w:b/>
          <w:color w:val="000000" w:themeColor="text1"/>
          <w:sz w:val="28"/>
        </w:rPr>
        <w:t>CHAPTER 5</w:t>
      </w:r>
      <w:r w:rsidR="00E4534C" w:rsidRPr="00880A16">
        <w:rPr>
          <w:rFonts w:ascii="Times New Roman" w:hAnsi="Times New Roman" w:cs="Times New Roman"/>
          <w:b/>
          <w:color w:val="000000" w:themeColor="text1"/>
          <w:sz w:val="28"/>
        </w:rPr>
        <w:t xml:space="preserve">: </w:t>
      </w:r>
      <w:r w:rsidR="00880A16">
        <w:rPr>
          <w:rFonts w:ascii="Times New Roman" w:hAnsi="Times New Roman" w:cs="Times New Roman"/>
          <w:b/>
          <w:color w:val="000000" w:themeColor="text1"/>
          <w:sz w:val="28"/>
        </w:rPr>
        <w:t>Conclusion</w:t>
      </w:r>
      <w:bookmarkEnd w:id="22"/>
    </w:p>
    <w:p w:rsidR="00C27353" w:rsidRPr="00C27353" w:rsidRDefault="00C27353" w:rsidP="000818AA">
      <w:pPr>
        <w:jc w:val="both"/>
      </w:pPr>
    </w:p>
    <w:p w:rsidR="003935A9" w:rsidRPr="00AA0851" w:rsidRDefault="00C27353" w:rsidP="00AA0851">
      <w:pPr>
        <w:spacing w:line="480" w:lineRule="auto"/>
        <w:jc w:val="both"/>
        <w:rPr>
          <w:rFonts w:ascii="Times New Roman" w:hAnsi="Times New Roman" w:cs="Times New Roman"/>
          <w:color w:val="000000" w:themeColor="text1"/>
          <w:sz w:val="24"/>
          <w:szCs w:val="24"/>
        </w:rPr>
      </w:pPr>
      <w:r w:rsidRPr="00AA0851">
        <w:rPr>
          <w:rFonts w:ascii="Times New Roman" w:hAnsi="Times New Roman" w:cs="Times New Roman"/>
          <w:color w:val="000000" w:themeColor="text1"/>
          <w:sz w:val="24"/>
          <w:szCs w:val="24"/>
        </w:rPr>
        <w:t xml:space="preserve">Since beginning of futures trading during 1970s, the focus of academicians and practitioners has been </w:t>
      </w:r>
      <w:r w:rsidR="006843CF" w:rsidRPr="00AA0851">
        <w:rPr>
          <w:rFonts w:ascii="Times New Roman" w:hAnsi="Times New Roman" w:cs="Times New Roman"/>
          <w:color w:val="000000" w:themeColor="text1"/>
          <w:sz w:val="24"/>
          <w:szCs w:val="24"/>
        </w:rPr>
        <w:t>stimulated</w:t>
      </w:r>
      <w:r w:rsidRPr="00AA0851">
        <w:rPr>
          <w:rFonts w:ascii="Times New Roman" w:hAnsi="Times New Roman" w:cs="Times New Roman"/>
          <w:color w:val="000000" w:themeColor="text1"/>
          <w:sz w:val="24"/>
          <w:szCs w:val="24"/>
        </w:rPr>
        <w:t xml:space="preserve"> towards analyzing the influence of futures trading on the underlying spot market. </w:t>
      </w:r>
      <w:r w:rsidR="006843CF" w:rsidRPr="00AA0851">
        <w:rPr>
          <w:rFonts w:ascii="Times New Roman" w:hAnsi="Times New Roman" w:cs="Times New Roman"/>
          <w:color w:val="000000" w:themeColor="text1"/>
          <w:sz w:val="24"/>
          <w:szCs w:val="24"/>
        </w:rPr>
        <w:t xml:space="preserve">The literature has largely discussed about the impact of futures trading on market dynamics i.e. market efficiency of underlying stocks and volatility dynamics of underlying stock returns. </w:t>
      </w:r>
      <w:r w:rsidR="009F382C" w:rsidRPr="00AA0851">
        <w:rPr>
          <w:rFonts w:ascii="Times New Roman" w:hAnsi="Times New Roman" w:cs="Times New Roman"/>
          <w:color w:val="000000" w:themeColor="text1"/>
          <w:sz w:val="24"/>
          <w:szCs w:val="24"/>
        </w:rPr>
        <w:t xml:space="preserve">However, there are opposing theoretical arguments regarding the influence of futures trading on market efficiency and </w:t>
      </w:r>
      <w:r w:rsidR="000818AA" w:rsidRPr="00AA0851">
        <w:rPr>
          <w:rFonts w:ascii="Times New Roman" w:hAnsi="Times New Roman" w:cs="Times New Roman"/>
          <w:color w:val="000000" w:themeColor="text1"/>
          <w:sz w:val="24"/>
          <w:szCs w:val="24"/>
        </w:rPr>
        <w:t>volatility (</w:t>
      </w:r>
      <w:r w:rsidR="00C24CD3" w:rsidRPr="00AA0851">
        <w:rPr>
          <w:rFonts w:ascii="Times New Roman" w:hAnsi="Times New Roman" w:cs="Times New Roman"/>
          <w:color w:val="000000" w:themeColor="text1"/>
          <w:sz w:val="24"/>
          <w:szCs w:val="24"/>
        </w:rPr>
        <w:t xml:space="preserve">Gahlot and Datta, 2011; </w:t>
      </w:r>
      <w:r w:rsidR="000818AA" w:rsidRPr="00AA0851">
        <w:rPr>
          <w:rFonts w:ascii="Times New Roman" w:hAnsi="Times New Roman" w:cs="Times New Roman"/>
          <w:color w:val="000000" w:themeColor="text1"/>
          <w:sz w:val="24"/>
          <w:szCs w:val="24"/>
        </w:rPr>
        <w:t xml:space="preserve">Bae, Kwon and Park, 2004). </w:t>
      </w:r>
      <w:r w:rsidR="003935A9" w:rsidRPr="00AA0851">
        <w:rPr>
          <w:rFonts w:ascii="Times New Roman" w:hAnsi="Times New Roman" w:cs="Times New Roman"/>
          <w:color w:val="000000" w:themeColor="text1"/>
          <w:sz w:val="24"/>
          <w:szCs w:val="24"/>
        </w:rPr>
        <w:t xml:space="preserve">Single Stock Futures is relatively a new market worldwide. </w:t>
      </w:r>
      <w:r w:rsidR="003935A9" w:rsidRPr="009D24AF">
        <w:rPr>
          <w:rFonts w:ascii="Times New Roman" w:hAnsi="Times New Roman" w:cs="Times New Roman"/>
          <w:color w:val="000000" w:themeColor="text1"/>
          <w:sz w:val="24"/>
          <w:szCs w:val="24"/>
        </w:rPr>
        <w:t xml:space="preserve">Also, there is a lack of SSFs based studies in Pakistan and the methodology used to assess market efficiency and volatility is flawed. </w:t>
      </w:r>
      <w:r w:rsidR="000D5E11" w:rsidRPr="009D24AF">
        <w:rPr>
          <w:rFonts w:ascii="Times New Roman" w:hAnsi="Times New Roman" w:cs="Times New Roman"/>
          <w:color w:val="000000" w:themeColor="text1"/>
          <w:sz w:val="24"/>
          <w:szCs w:val="24"/>
        </w:rPr>
        <w:t>Moreover</w:t>
      </w:r>
      <w:r w:rsidR="008B787D" w:rsidRPr="009D24AF">
        <w:rPr>
          <w:rFonts w:ascii="Times New Roman" w:hAnsi="Times New Roman" w:cs="Times New Roman"/>
          <w:color w:val="000000" w:themeColor="text1"/>
          <w:sz w:val="24"/>
          <w:szCs w:val="24"/>
        </w:rPr>
        <w:t>, t</w:t>
      </w:r>
      <w:r w:rsidR="00F37B1A" w:rsidRPr="009D24AF">
        <w:rPr>
          <w:rFonts w:ascii="Times New Roman" w:hAnsi="Times New Roman" w:cs="Times New Roman"/>
          <w:color w:val="000000" w:themeColor="text1"/>
          <w:sz w:val="24"/>
          <w:szCs w:val="24"/>
        </w:rPr>
        <w:t>he results of the studies conducted in Pakistani context appear to contradict with the developed market.</w:t>
      </w:r>
    </w:p>
    <w:p w:rsidR="002E2B58" w:rsidRPr="00AA0851" w:rsidRDefault="00832BA2" w:rsidP="00AA0851">
      <w:pPr>
        <w:spacing w:after="0" w:line="480" w:lineRule="auto"/>
        <w:jc w:val="both"/>
        <w:rPr>
          <w:rFonts w:ascii="Times New Roman" w:hAnsi="Times New Roman" w:cs="Times New Roman"/>
          <w:color w:val="000000" w:themeColor="text1"/>
          <w:sz w:val="24"/>
          <w:szCs w:val="24"/>
        </w:rPr>
      </w:pPr>
      <w:r w:rsidRPr="00AA0851">
        <w:rPr>
          <w:rFonts w:ascii="Times New Roman" w:hAnsi="Times New Roman" w:cs="Times New Roman"/>
          <w:color w:val="000000" w:themeColor="text1"/>
          <w:sz w:val="24"/>
          <w:szCs w:val="24"/>
        </w:rPr>
        <w:t xml:space="preserve">The results of the estimated models depict </w:t>
      </w:r>
      <w:r w:rsidR="0045261F" w:rsidRPr="00AA0851">
        <w:rPr>
          <w:rFonts w:ascii="Times New Roman" w:hAnsi="Times New Roman" w:cs="Times New Roman"/>
          <w:color w:val="000000" w:themeColor="text1"/>
          <w:sz w:val="24"/>
          <w:szCs w:val="24"/>
        </w:rPr>
        <w:t xml:space="preserve">that the active returns of futures listed stock were less than the non-futures listed stocks. </w:t>
      </w:r>
      <w:r w:rsidR="00D91198" w:rsidRPr="00AA0851">
        <w:rPr>
          <w:rFonts w:ascii="Times New Roman" w:hAnsi="Times New Roman" w:cs="Times New Roman"/>
          <w:color w:val="000000" w:themeColor="text1"/>
          <w:sz w:val="24"/>
          <w:szCs w:val="24"/>
        </w:rPr>
        <w:t>In addition</w:t>
      </w:r>
      <w:r w:rsidR="0045261F" w:rsidRPr="00AA0851">
        <w:rPr>
          <w:rFonts w:ascii="Times New Roman" w:hAnsi="Times New Roman" w:cs="Times New Roman"/>
          <w:color w:val="000000" w:themeColor="text1"/>
          <w:sz w:val="24"/>
          <w:szCs w:val="24"/>
        </w:rPr>
        <w:t>, the market risk</w:t>
      </w:r>
      <w:r w:rsidR="0040234B" w:rsidRPr="00AA0851">
        <w:rPr>
          <w:rFonts w:ascii="Times New Roman" w:hAnsi="Times New Roman" w:cs="Times New Roman"/>
          <w:color w:val="000000" w:themeColor="text1"/>
          <w:sz w:val="24"/>
          <w:szCs w:val="24"/>
        </w:rPr>
        <w:t xml:space="preserve"> (systematic risk)</w:t>
      </w:r>
      <w:r w:rsidR="0045261F" w:rsidRPr="00AA0851">
        <w:rPr>
          <w:rFonts w:ascii="Times New Roman" w:hAnsi="Times New Roman" w:cs="Times New Roman"/>
          <w:color w:val="000000" w:themeColor="text1"/>
          <w:sz w:val="24"/>
          <w:szCs w:val="24"/>
        </w:rPr>
        <w:t xml:space="preserve"> of futures listed stocks came out to be greater than </w:t>
      </w:r>
      <w:r w:rsidR="006C1EE6" w:rsidRPr="00AA0851">
        <w:rPr>
          <w:rFonts w:ascii="Times New Roman" w:hAnsi="Times New Roman" w:cs="Times New Roman"/>
          <w:color w:val="000000" w:themeColor="text1"/>
          <w:sz w:val="24"/>
          <w:szCs w:val="24"/>
        </w:rPr>
        <w:t>non-futures listed stocks. T</w:t>
      </w:r>
      <w:r w:rsidR="002E2B58" w:rsidRPr="00AA0851">
        <w:rPr>
          <w:rFonts w:ascii="Times New Roman" w:hAnsi="Times New Roman" w:cs="Times New Roman"/>
          <w:color w:val="000000" w:themeColor="text1"/>
          <w:sz w:val="24"/>
          <w:szCs w:val="24"/>
        </w:rPr>
        <w:t xml:space="preserve">he analysis showed consistent results over the time period. Moreover, we can also see that the market risk for Portfolio_FL reduced over the time and this could be ascribed to the strict regulations and improved </w:t>
      </w:r>
      <w:r w:rsidR="00E94015" w:rsidRPr="00AA0851">
        <w:rPr>
          <w:rFonts w:ascii="Times New Roman" w:hAnsi="Times New Roman" w:cs="Times New Roman"/>
          <w:color w:val="000000" w:themeColor="text1"/>
          <w:sz w:val="24"/>
          <w:szCs w:val="24"/>
        </w:rPr>
        <w:t xml:space="preserve">trading </w:t>
      </w:r>
      <w:r w:rsidR="002E2B58" w:rsidRPr="00AA0851">
        <w:rPr>
          <w:rFonts w:ascii="Times New Roman" w:hAnsi="Times New Roman" w:cs="Times New Roman"/>
          <w:color w:val="000000" w:themeColor="text1"/>
          <w:sz w:val="24"/>
          <w:szCs w:val="24"/>
        </w:rPr>
        <w:t>mechanis</w:t>
      </w:r>
      <w:r w:rsidR="00E94015" w:rsidRPr="00AA0851">
        <w:rPr>
          <w:rFonts w:ascii="Times New Roman" w:hAnsi="Times New Roman" w:cs="Times New Roman"/>
          <w:color w:val="000000" w:themeColor="text1"/>
          <w:sz w:val="24"/>
          <w:szCs w:val="24"/>
        </w:rPr>
        <w:t>m for</w:t>
      </w:r>
      <w:r w:rsidR="002E2B58" w:rsidRPr="00AA0851">
        <w:rPr>
          <w:rFonts w:ascii="Times New Roman" w:hAnsi="Times New Roman" w:cs="Times New Roman"/>
          <w:color w:val="000000" w:themeColor="text1"/>
          <w:sz w:val="24"/>
          <w:szCs w:val="24"/>
        </w:rPr>
        <w:t xml:space="preserve"> futures trading by Securities Exchange Commission of Pakistan (SECP).  The risk of investing in individu</w:t>
      </w:r>
      <w:r w:rsidR="00E94015" w:rsidRPr="00AA0851">
        <w:rPr>
          <w:rFonts w:ascii="Times New Roman" w:hAnsi="Times New Roman" w:cs="Times New Roman"/>
          <w:color w:val="000000" w:themeColor="text1"/>
          <w:sz w:val="24"/>
          <w:szCs w:val="24"/>
        </w:rPr>
        <w:t>al stocks also reduced over the</w:t>
      </w:r>
      <w:r w:rsidR="002E2B58" w:rsidRPr="00AA0851">
        <w:rPr>
          <w:rFonts w:ascii="Times New Roman" w:hAnsi="Times New Roman" w:cs="Times New Roman"/>
          <w:color w:val="000000" w:themeColor="text1"/>
          <w:sz w:val="24"/>
          <w:szCs w:val="24"/>
        </w:rPr>
        <w:t xml:space="preserve"> time. </w:t>
      </w:r>
    </w:p>
    <w:p w:rsidR="007F22DE" w:rsidRPr="00AA0851" w:rsidRDefault="00341DF3" w:rsidP="00AA0851">
      <w:pPr>
        <w:spacing w:line="480" w:lineRule="auto"/>
        <w:jc w:val="both"/>
        <w:rPr>
          <w:rFonts w:ascii="Times New Roman" w:hAnsi="Times New Roman" w:cs="Times New Roman"/>
          <w:sz w:val="24"/>
        </w:rPr>
      </w:pPr>
      <w:r w:rsidRPr="00AA0851">
        <w:rPr>
          <w:rFonts w:ascii="Times New Roman" w:hAnsi="Times New Roman" w:cs="Times New Roman"/>
          <w:color w:val="000000" w:themeColor="text1"/>
          <w:sz w:val="24"/>
          <w:szCs w:val="24"/>
        </w:rPr>
        <w:t xml:space="preserve">However, </w:t>
      </w:r>
      <w:r w:rsidR="00A70637" w:rsidRPr="00AA0851">
        <w:rPr>
          <w:rFonts w:ascii="Times New Roman" w:hAnsi="Times New Roman" w:cs="Times New Roman"/>
          <w:color w:val="000000" w:themeColor="text1"/>
          <w:sz w:val="24"/>
          <w:szCs w:val="24"/>
        </w:rPr>
        <w:t>t</w:t>
      </w:r>
      <w:r w:rsidR="006C1EE6" w:rsidRPr="00AA0851">
        <w:rPr>
          <w:rFonts w:ascii="Times New Roman" w:hAnsi="Times New Roman" w:cs="Times New Roman"/>
          <w:color w:val="000000" w:themeColor="text1"/>
          <w:sz w:val="24"/>
          <w:szCs w:val="24"/>
        </w:rPr>
        <w:t xml:space="preserve">he </w:t>
      </w:r>
      <w:r w:rsidR="00471B07">
        <w:rPr>
          <w:rFonts w:ascii="Times New Roman" w:hAnsi="Times New Roman" w:cs="Times New Roman"/>
          <w:color w:val="000000" w:themeColor="text1"/>
          <w:sz w:val="24"/>
          <w:szCs w:val="24"/>
        </w:rPr>
        <w:t xml:space="preserve">multiple </w:t>
      </w:r>
      <w:r w:rsidR="006C1EE6" w:rsidRPr="00AA0851">
        <w:rPr>
          <w:rFonts w:ascii="Times New Roman" w:hAnsi="Times New Roman" w:cs="Times New Roman"/>
          <w:color w:val="000000" w:themeColor="text1"/>
          <w:sz w:val="24"/>
          <w:szCs w:val="24"/>
        </w:rPr>
        <w:t>factor model tend</w:t>
      </w:r>
      <w:r w:rsidR="00A70637" w:rsidRPr="00AA0851">
        <w:rPr>
          <w:rFonts w:ascii="Times New Roman" w:hAnsi="Times New Roman" w:cs="Times New Roman"/>
          <w:color w:val="000000" w:themeColor="text1"/>
          <w:sz w:val="24"/>
          <w:szCs w:val="24"/>
        </w:rPr>
        <w:t>s</w:t>
      </w:r>
      <w:r w:rsidR="006C1EE6" w:rsidRPr="00AA0851">
        <w:rPr>
          <w:rFonts w:ascii="Times New Roman" w:hAnsi="Times New Roman" w:cs="Times New Roman"/>
          <w:color w:val="000000" w:themeColor="text1"/>
          <w:sz w:val="24"/>
          <w:szCs w:val="24"/>
        </w:rPr>
        <w:t xml:space="preserve"> to explain excess returns in the portfolio by using three factor</w:t>
      </w:r>
      <w:r w:rsidR="00A65713">
        <w:rPr>
          <w:rFonts w:ascii="Times New Roman" w:hAnsi="Times New Roman" w:cs="Times New Roman"/>
          <w:color w:val="000000" w:themeColor="text1"/>
          <w:sz w:val="24"/>
          <w:szCs w:val="24"/>
        </w:rPr>
        <w:t xml:space="preserve">s.  It adds the factor of size </w:t>
      </w:r>
      <w:r w:rsidR="006C1EE6" w:rsidRPr="00AA0851">
        <w:rPr>
          <w:rFonts w:ascii="Times New Roman" w:hAnsi="Times New Roman" w:cs="Times New Roman"/>
          <w:color w:val="000000" w:themeColor="text1"/>
          <w:sz w:val="24"/>
          <w:szCs w:val="24"/>
        </w:rPr>
        <w:t>and factor of value along with beta</w:t>
      </w:r>
      <w:r w:rsidR="00EC7E4D" w:rsidRPr="00AA0851">
        <w:rPr>
          <w:rFonts w:ascii="Times New Roman" w:hAnsi="Times New Roman" w:cs="Times New Roman"/>
          <w:color w:val="000000" w:themeColor="text1"/>
          <w:sz w:val="24"/>
          <w:szCs w:val="24"/>
        </w:rPr>
        <w:t xml:space="preserve"> in CAPM model (Fama and </w:t>
      </w:r>
      <w:r w:rsidR="00EC7E4D" w:rsidRPr="00AA0851">
        <w:rPr>
          <w:rFonts w:ascii="Times New Roman" w:hAnsi="Times New Roman" w:cs="Times New Roman"/>
          <w:color w:val="000000" w:themeColor="text1"/>
          <w:sz w:val="24"/>
          <w:szCs w:val="24"/>
        </w:rPr>
        <w:lastRenderedPageBreak/>
        <w:t>French, 1992).</w:t>
      </w:r>
      <w:r w:rsidR="00E72ED1" w:rsidRPr="00AA0851">
        <w:rPr>
          <w:rFonts w:ascii="Times New Roman" w:hAnsi="Times New Roman" w:cs="Times New Roman"/>
          <w:sz w:val="24"/>
        </w:rPr>
        <w:t>The positive alpha of Futures listed stocks shows that they are outperforming the market over the time span</w:t>
      </w:r>
      <w:r w:rsidR="00E72ED1" w:rsidRPr="00AA0851">
        <w:rPr>
          <w:rFonts w:ascii="Times New Roman" w:hAnsi="Times New Roman" w:cs="Times New Roman"/>
          <w:color w:val="000000" w:themeColor="text1"/>
          <w:sz w:val="24"/>
          <w:szCs w:val="24"/>
        </w:rPr>
        <w:t xml:space="preserve">. </w:t>
      </w:r>
      <w:r w:rsidR="00E72ED1" w:rsidRPr="00AA0851">
        <w:rPr>
          <w:rFonts w:ascii="Times New Roman" w:hAnsi="Times New Roman" w:cs="Times New Roman"/>
          <w:sz w:val="24"/>
        </w:rPr>
        <w:t>I</w:t>
      </w:r>
      <w:r w:rsidR="007F22DE" w:rsidRPr="00AA0851">
        <w:rPr>
          <w:rFonts w:ascii="Times New Roman" w:hAnsi="Times New Roman" w:cs="Times New Roman"/>
          <w:sz w:val="24"/>
        </w:rPr>
        <w:t>f we assess the most recent period, we conclude that the stocks with futures available on them are generating more returns and thus are more riskier than those stocks</w:t>
      </w:r>
      <w:r w:rsidR="005873E6">
        <w:rPr>
          <w:rFonts w:ascii="Times New Roman" w:hAnsi="Times New Roman" w:cs="Times New Roman"/>
          <w:sz w:val="24"/>
        </w:rPr>
        <w:t xml:space="preserve"> which do not have futures traded against them</w:t>
      </w:r>
      <w:r w:rsidR="007F22DE" w:rsidRPr="00AA0851">
        <w:rPr>
          <w:rFonts w:ascii="Times New Roman" w:hAnsi="Times New Roman" w:cs="Times New Roman"/>
          <w:sz w:val="24"/>
        </w:rPr>
        <w:t xml:space="preserve">. Thus, the </w:t>
      </w:r>
      <w:r w:rsidR="00471B07">
        <w:rPr>
          <w:rFonts w:ascii="Times New Roman" w:hAnsi="Times New Roman" w:cs="Times New Roman"/>
          <w:sz w:val="24"/>
        </w:rPr>
        <w:t xml:space="preserve">multiple </w:t>
      </w:r>
      <w:r w:rsidR="007F22DE" w:rsidRPr="00AA0851">
        <w:rPr>
          <w:rFonts w:ascii="Times New Roman" w:hAnsi="Times New Roman" w:cs="Times New Roman"/>
          <w:sz w:val="24"/>
        </w:rPr>
        <w:t>factor model showed more refined and better alpha-ret</w:t>
      </w:r>
      <w:r w:rsidR="00E72ED1" w:rsidRPr="00AA0851">
        <w:rPr>
          <w:rFonts w:ascii="Times New Roman" w:hAnsi="Times New Roman" w:cs="Times New Roman"/>
          <w:sz w:val="24"/>
        </w:rPr>
        <w:t>urns in the presence of two othe</w:t>
      </w:r>
      <w:r w:rsidR="007F22DE" w:rsidRPr="00AA0851">
        <w:rPr>
          <w:rFonts w:ascii="Times New Roman" w:hAnsi="Times New Roman" w:cs="Times New Roman"/>
          <w:sz w:val="24"/>
        </w:rPr>
        <w:t>r fa</w:t>
      </w:r>
      <w:r w:rsidR="005C3AF5" w:rsidRPr="00AA0851">
        <w:rPr>
          <w:rFonts w:ascii="Times New Roman" w:hAnsi="Times New Roman" w:cs="Times New Roman"/>
          <w:sz w:val="24"/>
        </w:rPr>
        <w:t>ctors i.e. size a</w:t>
      </w:r>
      <w:r w:rsidR="001E0EB2" w:rsidRPr="00AA0851">
        <w:rPr>
          <w:rFonts w:ascii="Times New Roman" w:hAnsi="Times New Roman" w:cs="Times New Roman"/>
          <w:sz w:val="24"/>
        </w:rPr>
        <w:t>nd value than CAPM.</w:t>
      </w:r>
      <w:r w:rsidR="005C3AF5" w:rsidRPr="00AA0851">
        <w:rPr>
          <w:rFonts w:ascii="Times New Roman" w:hAnsi="Times New Roman" w:cs="Times New Roman"/>
          <w:sz w:val="24"/>
        </w:rPr>
        <w:t xml:space="preserve"> These results are consistent with findings</w:t>
      </w:r>
      <w:r w:rsidR="00485F7E" w:rsidRPr="00AA0851">
        <w:rPr>
          <w:rFonts w:ascii="Times New Roman" w:hAnsi="Times New Roman" w:cs="Times New Roman"/>
          <w:sz w:val="24"/>
        </w:rPr>
        <w:t xml:space="preserve"> of various researchers like </w:t>
      </w:r>
      <w:r w:rsidR="007F716F" w:rsidRPr="00AA0851">
        <w:rPr>
          <w:rFonts w:ascii="Times New Roman" w:hAnsi="Times New Roman" w:cs="Times New Roman"/>
          <w:sz w:val="24"/>
        </w:rPr>
        <w:t>(Gregory, Tharyan and Christdis, 2013</w:t>
      </w:r>
      <w:r w:rsidR="001E0EB2" w:rsidRPr="00AA0851">
        <w:rPr>
          <w:rFonts w:ascii="Times New Roman" w:hAnsi="Times New Roman" w:cs="Times New Roman"/>
          <w:sz w:val="24"/>
        </w:rPr>
        <w:t>;</w:t>
      </w:r>
      <w:r w:rsidR="005C3AF5" w:rsidRPr="00AA0851">
        <w:rPr>
          <w:rFonts w:ascii="Times New Roman" w:hAnsi="Times New Roman" w:cs="Times New Roman"/>
          <w:sz w:val="24"/>
        </w:rPr>
        <w:t xml:space="preserve"> Gaunt, 2004). </w:t>
      </w:r>
      <w:r w:rsidR="001E0EB2" w:rsidRPr="00AA0851">
        <w:rPr>
          <w:rFonts w:ascii="Times New Roman" w:hAnsi="Times New Roman" w:cs="Times New Roman"/>
          <w:sz w:val="24"/>
        </w:rPr>
        <w:t>They have asse</w:t>
      </w:r>
      <w:r w:rsidR="00485F7E" w:rsidRPr="00AA0851">
        <w:rPr>
          <w:rFonts w:ascii="Times New Roman" w:hAnsi="Times New Roman" w:cs="Times New Roman"/>
          <w:sz w:val="24"/>
        </w:rPr>
        <w:t>rted that Fama-French</w:t>
      </w:r>
      <w:r w:rsidR="001E0EB2" w:rsidRPr="00AA0851">
        <w:rPr>
          <w:rFonts w:ascii="Times New Roman" w:hAnsi="Times New Roman" w:cs="Times New Roman"/>
          <w:sz w:val="24"/>
        </w:rPr>
        <w:t xml:space="preserve"> model </w:t>
      </w:r>
      <w:r w:rsidR="00FD3DC9" w:rsidRPr="00AA0851">
        <w:rPr>
          <w:rFonts w:ascii="Times New Roman" w:hAnsi="Times New Roman" w:cs="Times New Roman"/>
          <w:sz w:val="24"/>
        </w:rPr>
        <w:t xml:space="preserve">provides better explanation of </w:t>
      </w:r>
      <w:r w:rsidR="0067061C" w:rsidRPr="00AA0851">
        <w:rPr>
          <w:rFonts w:ascii="Times New Roman" w:hAnsi="Times New Roman" w:cs="Times New Roman"/>
          <w:sz w:val="24"/>
        </w:rPr>
        <w:t xml:space="preserve">stock returns. </w:t>
      </w:r>
    </w:p>
    <w:p w:rsidR="007D24FE" w:rsidRPr="00AA0851" w:rsidRDefault="00613DFD" w:rsidP="00AA0851">
      <w:pPr>
        <w:spacing w:after="0" w:line="480" w:lineRule="auto"/>
        <w:jc w:val="both"/>
        <w:rPr>
          <w:rFonts w:ascii="Times New Roman" w:hAnsi="Times New Roman" w:cs="Times New Roman"/>
          <w:sz w:val="24"/>
        </w:rPr>
      </w:pPr>
      <w:r w:rsidRPr="00AA0851">
        <w:rPr>
          <w:rFonts w:ascii="Times New Roman" w:hAnsi="Times New Roman" w:cs="Times New Roman"/>
          <w:sz w:val="24"/>
        </w:rPr>
        <w:t>Various studies have claimed a significant relationship between company-specific</w:t>
      </w:r>
      <w:r w:rsidR="003B3494" w:rsidRPr="00AA0851">
        <w:rPr>
          <w:rFonts w:ascii="Times New Roman" w:hAnsi="Times New Roman" w:cs="Times New Roman"/>
          <w:sz w:val="24"/>
        </w:rPr>
        <w:t xml:space="preserve"> variables and stock returns.</w:t>
      </w:r>
      <w:r w:rsidRPr="00AA0851">
        <w:rPr>
          <w:rFonts w:ascii="Times New Roman" w:hAnsi="Times New Roman" w:cs="Times New Roman"/>
          <w:sz w:val="24"/>
        </w:rPr>
        <w:t>Our results exhibited that small cap stocks outperformed the large-cap stocks. These findings coincide with Banz (1981)</w:t>
      </w:r>
      <w:r w:rsidR="00451516" w:rsidRPr="00AA0851">
        <w:rPr>
          <w:rFonts w:ascii="Times New Roman" w:hAnsi="Times New Roman" w:cs="Times New Roman"/>
          <w:sz w:val="24"/>
        </w:rPr>
        <w:t>, Jen</w:t>
      </w:r>
      <w:r w:rsidR="008F7EF8" w:rsidRPr="00AA0851">
        <w:rPr>
          <w:rFonts w:ascii="Times New Roman" w:hAnsi="Times New Roman" w:cs="Times New Roman"/>
          <w:sz w:val="24"/>
        </w:rPr>
        <w:t xml:space="preserve">sen, Johnson and Mercer (1997) </w:t>
      </w:r>
      <w:r w:rsidR="00F15EF0" w:rsidRPr="00AA0851">
        <w:rPr>
          <w:rFonts w:ascii="Times New Roman" w:hAnsi="Times New Roman" w:cs="Times New Roman"/>
          <w:sz w:val="24"/>
        </w:rPr>
        <w:t>who</w:t>
      </w:r>
      <w:r w:rsidRPr="00AA0851">
        <w:rPr>
          <w:rFonts w:ascii="Times New Roman" w:hAnsi="Times New Roman" w:cs="Times New Roman"/>
          <w:sz w:val="24"/>
        </w:rPr>
        <w:t xml:space="preserve"> asserted that small companies earn higher retu</w:t>
      </w:r>
      <w:r w:rsidR="00F15EF0" w:rsidRPr="00AA0851">
        <w:rPr>
          <w:rFonts w:ascii="Times New Roman" w:hAnsi="Times New Roman" w:cs="Times New Roman"/>
          <w:sz w:val="24"/>
        </w:rPr>
        <w:t xml:space="preserve">rns than large companies do. </w:t>
      </w:r>
      <w:r w:rsidR="00BB6516" w:rsidRPr="00AA0851">
        <w:rPr>
          <w:rFonts w:ascii="Times New Roman" w:hAnsi="Times New Roman" w:cs="Times New Roman"/>
          <w:sz w:val="24"/>
        </w:rPr>
        <w:t xml:space="preserve">As small-cap companies have less diversified business as well as lower financial flexibility as compared to large-cap companies so they are more sensitive to several risk dynamics.  Therefore, investors require risk premium while investing in small-cap companies. Large companies do not offer premiums. Moreover, </w:t>
      </w:r>
      <w:r w:rsidR="00EB57DC" w:rsidRPr="00AA0851">
        <w:rPr>
          <w:rFonts w:ascii="Times New Roman" w:hAnsi="Times New Roman" w:cs="Times New Roman"/>
          <w:sz w:val="24"/>
        </w:rPr>
        <w:t>i</w:t>
      </w:r>
      <w:r w:rsidR="00EF28A1" w:rsidRPr="00AA0851">
        <w:rPr>
          <w:rFonts w:ascii="Times New Roman" w:hAnsi="Times New Roman" w:cs="Times New Roman"/>
          <w:sz w:val="24"/>
        </w:rPr>
        <w:t xml:space="preserve">n case of book-market ratio, </w:t>
      </w:r>
      <w:r w:rsidR="001E018F" w:rsidRPr="00AA0851">
        <w:rPr>
          <w:rFonts w:ascii="Times New Roman" w:hAnsi="Times New Roman" w:cs="Times New Roman"/>
          <w:sz w:val="24"/>
        </w:rPr>
        <w:t xml:space="preserve">value stocks (high book-market ratio) has </w:t>
      </w:r>
      <w:r w:rsidR="00EB57DC" w:rsidRPr="00AA0851">
        <w:rPr>
          <w:rFonts w:ascii="Times New Roman" w:hAnsi="Times New Roman" w:cs="Times New Roman"/>
          <w:sz w:val="24"/>
        </w:rPr>
        <w:t>outpaced the growth stocks (low book-market ratio)</w:t>
      </w:r>
      <w:r w:rsidR="00BB6516" w:rsidRPr="00AA0851">
        <w:rPr>
          <w:rFonts w:ascii="Times New Roman" w:hAnsi="Times New Roman" w:cs="Times New Roman"/>
          <w:sz w:val="24"/>
        </w:rPr>
        <w:t xml:space="preserve"> historically</w:t>
      </w:r>
      <w:r w:rsidR="00EB57DC" w:rsidRPr="00AA0851">
        <w:rPr>
          <w:rFonts w:ascii="Times New Roman" w:hAnsi="Times New Roman" w:cs="Times New Roman"/>
          <w:sz w:val="24"/>
        </w:rPr>
        <w:t xml:space="preserve"> (Skinner and Sloan, 2002). </w:t>
      </w:r>
      <w:r w:rsidR="00150A9B" w:rsidRPr="00AA0851">
        <w:rPr>
          <w:rFonts w:ascii="Times New Roman" w:hAnsi="Times New Roman" w:cs="Times New Roman"/>
          <w:sz w:val="24"/>
        </w:rPr>
        <w:t>The researchers found that the gr</w:t>
      </w:r>
      <w:r w:rsidR="00BB6516" w:rsidRPr="00AA0851">
        <w:rPr>
          <w:rFonts w:ascii="Times New Roman" w:hAnsi="Times New Roman" w:cs="Times New Roman"/>
          <w:sz w:val="24"/>
        </w:rPr>
        <w:t xml:space="preserve">owth </w:t>
      </w:r>
      <w:r w:rsidR="00150A9B" w:rsidRPr="00AA0851">
        <w:rPr>
          <w:rFonts w:ascii="Times New Roman" w:hAnsi="Times New Roman" w:cs="Times New Roman"/>
          <w:sz w:val="24"/>
        </w:rPr>
        <w:t xml:space="preserve">stocks underperform the value stocks over long time periods. Also they asserted the presence of value premium when certain several ratios were used like P-E ratio, book-to-market ratio (Fama and French, 1992) and sales-price ratio as well. </w:t>
      </w:r>
      <w:r w:rsidR="00EB57DC" w:rsidRPr="00AA0851">
        <w:rPr>
          <w:rFonts w:ascii="Times New Roman" w:hAnsi="Times New Roman" w:cs="Times New Roman"/>
          <w:sz w:val="24"/>
        </w:rPr>
        <w:t xml:space="preserve">Whereas, in our study, the results indicate the opposite that the value stocks has underperformed the growth stocks. </w:t>
      </w:r>
      <w:r w:rsidR="007D24FE" w:rsidRPr="00AA0851">
        <w:rPr>
          <w:rFonts w:ascii="Times New Roman" w:hAnsi="Times New Roman" w:cs="Times New Roman"/>
          <w:sz w:val="24"/>
        </w:rPr>
        <w:t xml:space="preserve">We also added a control for major sectors in Pakistan and found no </w:t>
      </w:r>
      <w:r w:rsidR="00C707CC">
        <w:rPr>
          <w:rFonts w:ascii="Times New Roman" w:hAnsi="Times New Roman" w:cs="Times New Roman"/>
          <w:sz w:val="24"/>
        </w:rPr>
        <w:t>such differences from the previous results even</w:t>
      </w:r>
      <w:r w:rsidR="007D24FE" w:rsidRPr="00AA0851">
        <w:rPr>
          <w:rFonts w:ascii="Times New Roman" w:hAnsi="Times New Roman" w:cs="Times New Roman"/>
          <w:sz w:val="24"/>
        </w:rPr>
        <w:t xml:space="preserve"> after the addition of a control variable. </w:t>
      </w:r>
    </w:p>
    <w:p w:rsidR="006F2210" w:rsidRPr="00AA0851" w:rsidRDefault="00BA366F" w:rsidP="00AA0851">
      <w:pPr>
        <w:spacing w:before="240" w:line="480" w:lineRule="auto"/>
        <w:jc w:val="both"/>
        <w:rPr>
          <w:rFonts w:ascii="Arial" w:hAnsi="Arial" w:cs="Arial"/>
          <w:color w:val="242729"/>
          <w:sz w:val="23"/>
          <w:szCs w:val="23"/>
          <w:shd w:val="clear" w:color="auto" w:fill="FFFFFF"/>
        </w:rPr>
      </w:pPr>
      <w:r w:rsidRPr="00AA0851">
        <w:rPr>
          <w:rFonts w:ascii="Times New Roman" w:hAnsi="Times New Roman" w:cs="Times New Roman"/>
          <w:sz w:val="24"/>
        </w:rPr>
        <w:lastRenderedPageBreak/>
        <w:t>W</w:t>
      </w:r>
      <w:r w:rsidR="007D24FE" w:rsidRPr="00AA0851">
        <w:rPr>
          <w:rFonts w:ascii="Times New Roman" w:hAnsi="Times New Roman" w:cs="Times New Roman"/>
          <w:sz w:val="24"/>
        </w:rPr>
        <w:t>e also tested the impact of futures listing on the</w:t>
      </w:r>
      <w:r w:rsidRPr="00AA0851">
        <w:rPr>
          <w:rFonts w:ascii="Times New Roman" w:hAnsi="Times New Roman" w:cs="Times New Roman"/>
          <w:sz w:val="24"/>
        </w:rPr>
        <w:t xml:space="preserve"> volatility of</w:t>
      </w:r>
      <w:r w:rsidR="006F2210" w:rsidRPr="00AA0851">
        <w:rPr>
          <w:rFonts w:ascii="Times New Roman" w:hAnsi="Times New Roman" w:cs="Times New Roman"/>
          <w:sz w:val="24"/>
        </w:rPr>
        <w:t xml:space="preserve"> underlying stock returns through conditional volatility. </w:t>
      </w:r>
      <w:r w:rsidR="00274827" w:rsidRPr="00AA0851">
        <w:rPr>
          <w:rFonts w:ascii="Times New Roman" w:hAnsi="Times New Roman" w:cs="Times New Roman"/>
          <w:sz w:val="24"/>
        </w:rPr>
        <w:t xml:space="preserve">Our conditional variance models addressed two characteristics of our time series data i.e. volatility clustering and leverage effects. </w:t>
      </w:r>
      <w:r w:rsidR="00631E5A" w:rsidRPr="00AA0851">
        <w:rPr>
          <w:rFonts w:ascii="Times New Roman" w:hAnsi="Times New Roman" w:cs="Times New Roman"/>
          <w:sz w:val="24"/>
        </w:rPr>
        <w:t>The leverage effect (asymmetric effect of volatility)</w:t>
      </w:r>
      <w:r w:rsidR="006877F6" w:rsidRPr="00AA0851">
        <w:rPr>
          <w:rFonts w:ascii="Times New Roman" w:hAnsi="Times New Roman" w:cs="Times New Roman"/>
          <w:sz w:val="24"/>
        </w:rPr>
        <w:t>, however,</w:t>
      </w:r>
      <w:r w:rsidR="00631E5A" w:rsidRPr="00AA0851">
        <w:rPr>
          <w:rFonts w:ascii="Times New Roman" w:hAnsi="Times New Roman" w:cs="Times New Roman"/>
          <w:sz w:val="24"/>
        </w:rPr>
        <w:t xml:space="preserve"> did </w:t>
      </w:r>
      <w:r w:rsidR="007E33FD" w:rsidRPr="00AA0851">
        <w:rPr>
          <w:rFonts w:ascii="Times New Roman" w:hAnsi="Times New Roman" w:cs="Times New Roman"/>
          <w:sz w:val="24"/>
        </w:rPr>
        <w:t xml:space="preserve">not come out to be significant in any of the time period. </w:t>
      </w:r>
      <w:r w:rsidR="00FA4527">
        <w:rPr>
          <w:rFonts w:ascii="Times New Roman" w:hAnsi="Times New Roman" w:cs="Times New Roman"/>
          <w:sz w:val="24"/>
        </w:rPr>
        <w:t xml:space="preserve">So, the results made it evident that symmetric GARCH was enough to capture volatility in our model. </w:t>
      </w:r>
    </w:p>
    <w:p w:rsidR="005729B6" w:rsidRDefault="001740DC" w:rsidP="00AA0851">
      <w:pPr>
        <w:spacing w:after="0" w:line="480" w:lineRule="auto"/>
        <w:jc w:val="both"/>
        <w:rPr>
          <w:rFonts w:ascii="Times New Roman" w:hAnsi="Times New Roman" w:cs="Times New Roman"/>
          <w:sz w:val="24"/>
        </w:rPr>
      </w:pPr>
      <w:r w:rsidRPr="00AA0851">
        <w:rPr>
          <w:rFonts w:ascii="Times New Roman" w:hAnsi="Times New Roman" w:cs="Times New Roman"/>
          <w:sz w:val="24"/>
        </w:rPr>
        <w:t xml:space="preserve">The analysis </w:t>
      </w:r>
      <w:r w:rsidR="00FA1E76">
        <w:rPr>
          <w:rFonts w:ascii="Times New Roman" w:hAnsi="Times New Roman" w:cs="Times New Roman"/>
          <w:sz w:val="24"/>
        </w:rPr>
        <w:t>of symmetric volatility using CAPM</w:t>
      </w:r>
      <w:r w:rsidRPr="00AA0851">
        <w:rPr>
          <w:rFonts w:ascii="Times New Roman" w:hAnsi="Times New Roman" w:cs="Times New Roman"/>
          <w:sz w:val="24"/>
        </w:rPr>
        <w:t>suggested that</w:t>
      </w:r>
      <w:r w:rsidR="000536DF" w:rsidRPr="00AA0851">
        <w:rPr>
          <w:rFonts w:ascii="Times New Roman" w:hAnsi="Times New Roman" w:cs="Times New Roman"/>
          <w:sz w:val="24"/>
        </w:rPr>
        <w:t xml:space="preserve"> in order to earn the</w:t>
      </w:r>
      <w:r w:rsidR="00FA1E76">
        <w:rPr>
          <w:rFonts w:ascii="Times New Roman" w:hAnsi="Times New Roman" w:cs="Times New Roman"/>
          <w:sz w:val="24"/>
        </w:rPr>
        <w:t xml:space="preserve"> excess returns</w:t>
      </w:r>
      <w:r w:rsidR="000536DF" w:rsidRPr="00AA0851">
        <w:rPr>
          <w:rFonts w:ascii="Times New Roman" w:hAnsi="Times New Roman" w:cs="Times New Roman"/>
          <w:sz w:val="24"/>
        </w:rPr>
        <w:t>, the stocks</w:t>
      </w:r>
      <w:r w:rsidRPr="00AA0851">
        <w:rPr>
          <w:rFonts w:ascii="Times New Roman" w:hAnsi="Times New Roman" w:cs="Times New Roman"/>
          <w:sz w:val="24"/>
        </w:rPr>
        <w:t xml:space="preserve"> which have </w:t>
      </w:r>
      <w:r w:rsidR="00FA1E76">
        <w:rPr>
          <w:rFonts w:ascii="Times New Roman" w:hAnsi="Times New Roman" w:cs="Times New Roman"/>
          <w:sz w:val="24"/>
        </w:rPr>
        <w:t xml:space="preserve">no </w:t>
      </w:r>
      <w:r w:rsidRPr="00AA0851">
        <w:rPr>
          <w:rFonts w:ascii="Times New Roman" w:hAnsi="Times New Roman" w:cs="Times New Roman"/>
          <w:sz w:val="24"/>
        </w:rPr>
        <w:t>future</w:t>
      </w:r>
      <w:r w:rsidR="000536DF" w:rsidRPr="00AA0851">
        <w:rPr>
          <w:rFonts w:ascii="Times New Roman" w:hAnsi="Times New Roman" w:cs="Times New Roman"/>
          <w:sz w:val="24"/>
        </w:rPr>
        <w:t xml:space="preserve">s listed against them has greater risk </w:t>
      </w:r>
      <w:r w:rsidRPr="00AA0851">
        <w:rPr>
          <w:rFonts w:ascii="Times New Roman" w:hAnsi="Times New Roman" w:cs="Times New Roman"/>
          <w:sz w:val="24"/>
        </w:rPr>
        <w:t>tha</w:t>
      </w:r>
      <w:r w:rsidR="005729B6">
        <w:rPr>
          <w:rFonts w:ascii="Times New Roman" w:hAnsi="Times New Roman" w:cs="Times New Roman"/>
          <w:sz w:val="24"/>
        </w:rPr>
        <w:t xml:space="preserve">n those stocks </w:t>
      </w:r>
      <w:r w:rsidR="00FA1E76">
        <w:rPr>
          <w:rFonts w:ascii="Times New Roman" w:hAnsi="Times New Roman" w:cs="Times New Roman"/>
          <w:sz w:val="24"/>
        </w:rPr>
        <w:t xml:space="preserve">which have </w:t>
      </w:r>
      <w:r w:rsidR="005729B6">
        <w:rPr>
          <w:rFonts w:ascii="Times New Roman" w:hAnsi="Times New Roman" w:cs="Times New Roman"/>
          <w:sz w:val="24"/>
        </w:rPr>
        <w:t xml:space="preserve">futures </w:t>
      </w:r>
      <w:r w:rsidRPr="00AA0851">
        <w:rPr>
          <w:rFonts w:ascii="Times New Roman" w:hAnsi="Times New Roman" w:cs="Times New Roman"/>
          <w:sz w:val="24"/>
        </w:rPr>
        <w:t>trad</w:t>
      </w:r>
      <w:r w:rsidR="000536DF" w:rsidRPr="00AA0851">
        <w:rPr>
          <w:rFonts w:ascii="Times New Roman" w:hAnsi="Times New Roman" w:cs="Times New Roman"/>
          <w:sz w:val="24"/>
        </w:rPr>
        <w:t>ed</w:t>
      </w:r>
      <w:r w:rsidR="005729B6">
        <w:rPr>
          <w:rFonts w:ascii="Times New Roman" w:hAnsi="Times New Roman" w:cs="Times New Roman"/>
          <w:sz w:val="24"/>
        </w:rPr>
        <w:t xml:space="preserve"> against them</w:t>
      </w:r>
      <w:r w:rsidR="000536DF" w:rsidRPr="00AA0851">
        <w:rPr>
          <w:rFonts w:ascii="Times New Roman" w:hAnsi="Times New Roman" w:cs="Times New Roman"/>
          <w:sz w:val="24"/>
        </w:rPr>
        <w:t xml:space="preserve"> in most of the time periods as the volatility of Portfolio_</w:t>
      </w:r>
      <w:r w:rsidR="00FA1E76">
        <w:rPr>
          <w:rFonts w:ascii="Times New Roman" w:hAnsi="Times New Roman" w:cs="Times New Roman"/>
          <w:sz w:val="24"/>
        </w:rPr>
        <w:t>NFL is greater than Portfolio_</w:t>
      </w:r>
      <w:r w:rsidR="005729B6">
        <w:rPr>
          <w:rFonts w:ascii="Times New Roman" w:hAnsi="Times New Roman" w:cs="Times New Roman"/>
          <w:sz w:val="24"/>
        </w:rPr>
        <w:t xml:space="preserve">FL. </w:t>
      </w:r>
    </w:p>
    <w:p w:rsidR="003B3494" w:rsidRPr="00AA0851" w:rsidRDefault="000536DF" w:rsidP="00AA0851">
      <w:pPr>
        <w:spacing w:after="0" w:line="480" w:lineRule="auto"/>
        <w:jc w:val="both"/>
        <w:rPr>
          <w:rFonts w:ascii="Times New Roman" w:hAnsi="Times New Roman" w:cs="Times New Roman"/>
          <w:sz w:val="24"/>
        </w:rPr>
      </w:pPr>
      <w:r w:rsidRPr="00AA0851">
        <w:rPr>
          <w:rFonts w:ascii="Times New Roman" w:hAnsi="Times New Roman" w:cs="Times New Roman"/>
          <w:sz w:val="24"/>
        </w:rPr>
        <w:t>Whereas,</w:t>
      </w:r>
      <w:r w:rsidR="00516D3A">
        <w:rPr>
          <w:rFonts w:ascii="Times New Roman" w:hAnsi="Times New Roman" w:cs="Times New Roman"/>
          <w:sz w:val="24"/>
        </w:rPr>
        <w:t xml:space="preserve"> in case of </w:t>
      </w:r>
      <w:r w:rsidR="005729B6">
        <w:rPr>
          <w:rFonts w:ascii="Times New Roman" w:hAnsi="Times New Roman" w:cs="Times New Roman"/>
          <w:sz w:val="24"/>
        </w:rPr>
        <w:t>multiple factor model, we found out that</w:t>
      </w:r>
      <w:r w:rsidR="006F1640" w:rsidRPr="00AA0851">
        <w:rPr>
          <w:rFonts w:ascii="Times New Roman" w:hAnsi="Times New Roman" w:cs="Times New Roman"/>
          <w:sz w:val="24"/>
        </w:rPr>
        <w:t>in order to earn excess positive returns over investments, the portf</w:t>
      </w:r>
      <w:r w:rsidR="005729B6">
        <w:rPr>
          <w:rFonts w:ascii="Times New Roman" w:hAnsi="Times New Roman" w:cs="Times New Roman"/>
          <w:sz w:val="24"/>
        </w:rPr>
        <w:t>olio with futures listed stocks had greater</w:t>
      </w:r>
      <w:r w:rsidR="00E24CA6" w:rsidRPr="00AA0851">
        <w:rPr>
          <w:rFonts w:ascii="Times New Roman" w:hAnsi="Times New Roman" w:cs="Times New Roman"/>
          <w:sz w:val="24"/>
        </w:rPr>
        <w:t xml:space="preserve"> symmetric volatility in</w:t>
      </w:r>
      <w:r w:rsidR="005729B6">
        <w:rPr>
          <w:rFonts w:ascii="Times New Roman" w:hAnsi="Times New Roman" w:cs="Times New Roman"/>
          <w:sz w:val="24"/>
        </w:rPr>
        <w:t xml:space="preserve"> all the time periods</w:t>
      </w:r>
      <w:r w:rsidR="00E24CA6" w:rsidRPr="00AA0851">
        <w:rPr>
          <w:rFonts w:ascii="Times New Roman" w:hAnsi="Times New Roman" w:cs="Times New Roman"/>
          <w:sz w:val="24"/>
        </w:rPr>
        <w:t xml:space="preserve">. </w:t>
      </w:r>
      <w:r w:rsidR="005729B6">
        <w:rPr>
          <w:rFonts w:ascii="Times New Roman" w:hAnsi="Times New Roman" w:cs="Times New Roman"/>
          <w:sz w:val="24"/>
        </w:rPr>
        <w:t xml:space="preserve">Also, </w:t>
      </w:r>
      <w:r w:rsidR="007C52AE" w:rsidRPr="00AA0851">
        <w:rPr>
          <w:rFonts w:ascii="Times New Roman" w:hAnsi="Times New Roman" w:cs="Times New Roman"/>
          <w:sz w:val="24"/>
        </w:rPr>
        <w:t>if we assess the recent period, we can see that symmetric volatility</w:t>
      </w:r>
      <w:r w:rsidR="005729B6">
        <w:rPr>
          <w:rFonts w:ascii="Times New Roman" w:hAnsi="Times New Roman" w:cs="Times New Roman"/>
          <w:sz w:val="24"/>
        </w:rPr>
        <w:t xml:space="preserve"> (using multiple factor model)</w:t>
      </w:r>
      <w:r w:rsidR="007C52AE" w:rsidRPr="00AA0851">
        <w:rPr>
          <w:rFonts w:ascii="Times New Roman" w:hAnsi="Times New Roman" w:cs="Times New Roman"/>
          <w:sz w:val="24"/>
        </w:rPr>
        <w:t xml:space="preserve"> of Portfolio_FL is </w:t>
      </w:r>
      <w:r w:rsidR="005729B6">
        <w:rPr>
          <w:rFonts w:ascii="Times New Roman" w:hAnsi="Times New Roman" w:cs="Times New Roman"/>
          <w:sz w:val="24"/>
        </w:rPr>
        <w:t xml:space="preserve">greater </w:t>
      </w:r>
      <w:r w:rsidR="007C52AE" w:rsidRPr="00AA0851">
        <w:rPr>
          <w:rFonts w:ascii="Times New Roman" w:hAnsi="Times New Roman" w:cs="Times New Roman"/>
          <w:sz w:val="24"/>
        </w:rPr>
        <w:t>as compared</w:t>
      </w:r>
      <w:r w:rsidR="005729B6">
        <w:rPr>
          <w:rFonts w:ascii="Times New Roman" w:hAnsi="Times New Roman" w:cs="Times New Roman"/>
          <w:sz w:val="24"/>
        </w:rPr>
        <w:t xml:space="preserve"> to Portfolio_NFL. Also, the returns generated by stocks with futures listing were greater than stocks with no futures listing stocks</w:t>
      </w:r>
      <w:r w:rsidR="00880022">
        <w:rPr>
          <w:rFonts w:ascii="Times New Roman" w:hAnsi="Times New Roman" w:cs="Times New Roman"/>
          <w:sz w:val="24"/>
        </w:rPr>
        <w:t xml:space="preserve"> in multiple factor model</w:t>
      </w:r>
      <w:r w:rsidR="005729B6">
        <w:rPr>
          <w:rFonts w:ascii="Times New Roman" w:hAnsi="Times New Roman" w:cs="Times New Roman"/>
          <w:sz w:val="24"/>
        </w:rPr>
        <w:t xml:space="preserve">. </w:t>
      </w:r>
    </w:p>
    <w:p w:rsidR="003E2B20" w:rsidRDefault="00574FF9" w:rsidP="001805EC">
      <w:pPr>
        <w:spacing w:line="480" w:lineRule="auto"/>
        <w:jc w:val="both"/>
        <w:rPr>
          <w:rFonts w:ascii="Times New Roman" w:hAnsi="Times New Roman" w:cs="Times New Roman"/>
          <w:color w:val="000000" w:themeColor="text1"/>
          <w:sz w:val="24"/>
          <w:szCs w:val="24"/>
        </w:rPr>
      </w:pPr>
      <w:r w:rsidRPr="00AA0851">
        <w:rPr>
          <w:rFonts w:ascii="Times New Roman" w:hAnsi="Times New Roman" w:cs="Times New Roman"/>
          <w:sz w:val="24"/>
        </w:rPr>
        <w:t xml:space="preserve">The tests for equality of means suggested that there is a significant difference between the means of alpha of both portfolio; this depicts that futures listing do not bring efficiency to the </w:t>
      </w:r>
      <w:r w:rsidR="00A61E51" w:rsidRPr="00AA0851">
        <w:rPr>
          <w:rFonts w:ascii="Times New Roman" w:hAnsi="Times New Roman" w:cs="Times New Roman"/>
          <w:sz w:val="24"/>
        </w:rPr>
        <w:t>market</w:t>
      </w:r>
      <w:r w:rsidR="00A61E51" w:rsidRPr="001805EC">
        <w:rPr>
          <w:rFonts w:ascii="Times New Roman" w:hAnsi="Times New Roman" w:cs="Times New Roman"/>
          <w:color w:val="000000" w:themeColor="text1"/>
          <w:sz w:val="24"/>
          <w:szCs w:val="24"/>
        </w:rPr>
        <w:t xml:space="preserve">. </w:t>
      </w:r>
      <w:r w:rsidR="00B54109">
        <w:rPr>
          <w:rFonts w:ascii="Times New Roman" w:hAnsi="Times New Roman" w:cs="Times New Roman"/>
          <w:color w:val="000000" w:themeColor="text1"/>
          <w:sz w:val="24"/>
          <w:szCs w:val="24"/>
        </w:rPr>
        <w:t xml:space="preserve">So, we are </w:t>
      </w:r>
      <w:r w:rsidR="002C2F2A" w:rsidRPr="001805EC">
        <w:rPr>
          <w:rFonts w:ascii="Times New Roman" w:hAnsi="Times New Roman" w:cs="Times New Roman"/>
          <w:color w:val="000000" w:themeColor="text1"/>
          <w:sz w:val="24"/>
          <w:szCs w:val="24"/>
        </w:rPr>
        <w:t>able to reject our null hypothesis H1</w:t>
      </w:r>
      <w:r w:rsidR="002C2F2A" w:rsidRPr="001805EC">
        <w:rPr>
          <w:rFonts w:ascii="Times New Roman" w:hAnsi="Times New Roman" w:cs="Times New Roman"/>
          <w:color w:val="000000" w:themeColor="text1"/>
          <w:sz w:val="24"/>
          <w:szCs w:val="24"/>
          <w:vertAlign w:val="subscript"/>
        </w:rPr>
        <w:t>0</w:t>
      </w:r>
      <w:r w:rsidR="002C2F2A" w:rsidRPr="001805EC">
        <w:rPr>
          <w:rFonts w:ascii="Times New Roman" w:hAnsi="Times New Roman" w:cs="Times New Roman"/>
          <w:color w:val="000000" w:themeColor="text1"/>
          <w:sz w:val="24"/>
          <w:szCs w:val="24"/>
        </w:rPr>
        <w:t xml:space="preserve">. </w:t>
      </w:r>
      <w:r w:rsidR="0007183E">
        <w:rPr>
          <w:rFonts w:ascii="Times New Roman" w:hAnsi="Times New Roman" w:cs="Times New Roman"/>
          <w:color w:val="000000" w:themeColor="text1"/>
          <w:sz w:val="24"/>
          <w:szCs w:val="24"/>
        </w:rPr>
        <w:t>Also, the results illustrate that the futures trading is destabilizing the market. And t</w:t>
      </w:r>
      <w:r w:rsidRPr="001805EC">
        <w:rPr>
          <w:rFonts w:ascii="Times New Roman" w:hAnsi="Times New Roman" w:cs="Times New Roman"/>
          <w:color w:val="000000" w:themeColor="text1"/>
          <w:sz w:val="24"/>
          <w:szCs w:val="24"/>
        </w:rPr>
        <w:t xml:space="preserve">hese results coincide with the findings of Malik and Shah (2017).  </w:t>
      </w:r>
    </w:p>
    <w:p w:rsidR="003E2B20" w:rsidRPr="003E2B20" w:rsidRDefault="00574FF9" w:rsidP="001805EC">
      <w:pPr>
        <w:spacing w:line="480" w:lineRule="auto"/>
        <w:jc w:val="both"/>
        <w:rPr>
          <w:rFonts w:ascii="Times New Roman" w:hAnsi="Times New Roman" w:cs="Times New Roman"/>
          <w:color w:val="000000" w:themeColor="text1"/>
          <w:sz w:val="24"/>
          <w:szCs w:val="24"/>
        </w:rPr>
      </w:pPr>
      <w:r w:rsidRPr="001805EC">
        <w:rPr>
          <w:rFonts w:ascii="Times New Roman" w:hAnsi="Times New Roman" w:cs="Times New Roman"/>
          <w:color w:val="000000" w:themeColor="text1"/>
          <w:sz w:val="24"/>
          <w:szCs w:val="24"/>
        </w:rPr>
        <w:t>However, we also tested the equality of means of</w:t>
      </w:r>
      <w:r w:rsidR="00B54109">
        <w:rPr>
          <w:rFonts w:ascii="Times New Roman" w:hAnsi="Times New Roman" w:cs="Times New Roman"/>
          <w:color w:val="000000" w:themeColor="text1"/>
          <w:sz w:val="24"/>
          <w:szCs w:val="24"/>
        </w:rPr>
        <w:t xml:space="preserve"> conditional standard deviation co</w:t>
      </w:r>
      <w:r w:rsidRPr="001805EC">
        <w:rPr>
          <w:rFonts w:ascii="Times New Roman" w:hAnsi="Times New Roman" w:cs="Times New Roman"/>
          <w:color w:val="000000" w:themeColor="text1"/>
          <w:sz w:val="24"/>
          <w:szCs w:val="24"/>
        </w:rPr>
        <w:t xml:space="preserve">-efficients in order to assess whether futures listing play a role in altering volatility dynamics of Pakistani stock market or not. The analysis suggested that the futures listing do have an impact on the </w:t>
      </w:r>
      <w:r w:rsidRPr="001805EC">
        <w:rPr>
          <w:rFonts w:ascii="Times New Roman" w:hAnsi="Times New Roman" w:cs="Times New Roman"/>
          <w:color w:val="000000" w:themeColor="text1"/>
          <w:sz w:val="24"/>
          <w:szCs w:val="24"/>
        </w:rPr>
        <w:lastRenderedPageBreak/>
        <w:t>volatility of underlying stock returns in P</w:t>
      </w:r>
      <w:r w:rsidR="002731E6" w:rsidRPr="001805EC">
        <w:rPr>
          <w:rFonts w:ascii="Times New Roman" w:hAnsi="Times New Roman" w:cs="Times New Roman"/>
          <w:color w:val="000000" w:themeColor="text1"/>
          <w:sz w:val="24"/>
          <w:szCs w:val="24"/>
        </w:rPr>
        <w:t>akistan Stock Exchange (PSX).</w:t>
      </w:r>
      <w:r w:rsidR="002C2F2A" w:rsidRPr="001805EC">
        <w:rPr>
          <w:rFonts w:ascii="Times New Roman" w:hAnsi="Times New Roman" w:cs="Times New Roman"/>
          <w:color w:val="000000" w:themeColor="text1"/>
          <w:sz w:val="24"/>
          <w:szCs w:val="24"/>
        </w:rPr>
        <w:t xml:space="preserve"> Therefore, we are able to reject our null hypothesis H2</w:t>
      </w:r>
      <w:r w:rsidR="002C2F2A" w:rsidRPr="001805EC">
        <w:rPr>
          <w:rFonts w:ascii="Times New Roman" w:hAnsi="Times New Roman" w:cs="Times New Roman"/>
          <w:color w:val="000000" w:themeColor="text1"/>
          <w:sz w:val="24"/>
          <w:szCs w:val="24"/>
          <w:vertAlign w:val="subscript"/>
        </w:rPr>
        <w:t>0</w:t>
      </w:r>
      <w:r w:rsidR="00A34F38">
        <w:rPr>
          <w:rFonts w:ascii="Times New Roman" w:hAnsi="Times New Roman" w:cs="Times New Roman"/>
          <w:color w:val="000000" w:themeColor="text1"/>
          <w:sz w:val="24"/>
          <w:szCs w:val="24"/>
        </w:rPr>
        <w:t xml:space="preserve"> in case of multiple factor model. Whereas, we cannot reject the null hypothesis at 1% since the means of symmetric volatility using CAPM came out to be almost same. </w:t>
      </w:r>
      <w:r w:rsidR="003E2B20">
        <w:rPr>
          <w:rFonts w:ascii="Times New Roman" w:hAnsi="Times New Roman" w:cs="Times New Roman"/>
          <w:color w:val="000000" w:themeColor="text1"/>
          <w:sz w:val="24"/>
          <w:szCs w:val="24"/>
        </w:rPr>
        <w:t xml:space="preserve">Also, the means depicted that the volatility is high for stocks with futures listing. </w:t>
      </w:r>
    </w:p>
    <w:p w:rsidR="00574FF9" w:rsidRDefault="006873FD" w:rsidP="00AA0851">
      <w:pPr>
        <w:spacing w:after="0" w:line="480" w:lineRule="auto"/>
        <w:jc w:val="both"/>
        <w:rPr>
          <w:rFonts w:ascii="Times New Roman" w:hAnsi="Times New Roman" w:cs="Times New Roman"/>
          <w:sz w:val="24"/>
        </w:rPr>
      </w:pPr>
      <w:r>
        <w:rPr>
          <w:rFonts w:ascii="Times New Roman" w:hAnsi="Times New Roman" w:cs="Times New Roman"/>
          <w:sz w:val="24"/>
        </w:rPr>
        <w:t xml:space="preserve">This study is pertinent to local and foreign investors in a way that it would facilitate them in taking decisions about investments and risk hedging. </w:t>
      </w:r>
      <w:r w:rsidR="00574FF9" w:rsidRPr="00AA0851">
        <w:rPr>
          <w:rFonts w:ascii="Times New Roman" w:hAnsi="Times New Roman" w:cs="Times New Roman"/>
          <w:sz w:val="24"/>
        </w:rPr>
        <w:t xml:space="preserve">The findings of this study reveal that the investors are becoming the victims of </w:t>
      </w:r>
      <w:r w:rsidR="00A61E51" w:rsidRPr="00AA0851">
        <w:rPr>
          <w:rFonts w:ascii="Times New Roman" w:hAnsi="Times New Roman" w:cs="Times New Roman"/>
          <w:sz w:val="24"/>
        </w:rPr>
        <w:t>speculation,</w:t>
      </w:r>
      <w:r w:rsidR="00574FF9" w:rsidRPr="00AA0851">
        <w:rPr>
          <w:rFonts w:ascii="Times New Roman" w:hAnsi="Times New Roman" w:cs="Times New Roman"/>
          <w:sz w:val="24"/>
        </w:rPr>
        <w:t xml:space="preserve"> as the futures listing do not bring efficiency </w:t>
      </w:r>
      <w:r w:rsidR="00A61E51" w:rsidRPr="00AA0851">
        <w:rPr>
          <w:rFonts w:ascii="Times New Roman" w:hAnsi="Times New Roman" w:cs="Times New Roman"/>
          <w:sz w:val="24"/>
        </w:rPr>
        <w:t xml:space="preserve">to the market. However, the improved trading mechanism and strict regulations by SECP </w:t>
      </w:r>
      <w:r w:rsidR="008578A0" w:rsidRPr="00AA0851">
        <w:rPr>
          <w:rFonts w:ascii="Times New Roman" w:hAnsi="Times New Roman" w:cs="Times New Roman"/>
          <w:sz w:val="24"/>
        </w:rPr>
        <w:t xml:space="preserve">could play a significant role in earning better returns through futures listed stock. It was also made evident through the results of this study that futures listed stocks have more market risk than non-futures listed </w:t>
      </w:r>
      <w:r w:rsidR="00AA0851" w:rsidRPr="00AA0851">
        <w:rPr>
          <w:rFonts w:ascii="Times New Roman" w:hAnsi="Times New Roman" w:cs="Times New Roman"/>
          <w:sz w:val="24"/>
        </w:rPr>
        <w:t>stocks;</w:t>
      </w:r>
      <w:r w:rsidR="008578A0" w:rsidRPr="00AA0851">
        <w:rPr>
          <w:rFonts w:ascii="Times New Roman" w:hAnsi="Times New Roman" w:cs="Times New Roman"/>
          <w:sz w:val="24"/>
        </w:rPr>
        <w:t>however, the overall total risk is l</w:t>
      </w:r>
      <w:r w:rsidR="009E4F63">
        <w:rPr>
          <w:rFonts w:ascii="Times New Roman" w:hAnsi="Times New Roman" w:cs="Times New Roman"/>
          <w:sz w:val="24"/>
        </w:rPr>
        <w:t>esser for futures listed stocks as compared to non-futures listed stocks.</w:t>
      </w:r>
    </w:p>
    <w:p w:rsidR="00E5352D" w:rsidRPr="00E5352D" w:rsidRDefault="00E5352D" w:rsidP="00E5352D">
      <w:pPr>
        <w:spacing w:after="0" w:line="480" w:lineRule="auto"/>
        <w:jc w:val="both"/>
        <w:rPr>
          <w:rFonts w:ascii="Times New Roman" w:hAnsi="Times New Roman" w:cs="Times New Roman"/>
          <w:b/>
          <w:sz w:val="24"/>
        </w:rPr>
      </w:pPr>
      <w:r w:rsidRPr="00E5352D">
        <w:rPr>
          <w:rFonts w:ascii="Times New Roman" w:hAnsi="Times New Roman" w:cs="Times New Roman"/>
          <w:b/>
          <w:sz w:val="24"/>
        </w:rPr>
        <w:t>Policy Implications</w:t>
      </w:r>
    </w:p>
    <w:p w:rsidR="00E5352D" w:rsidRDefault="00E5352D" w:rsidP="00E5352D">
      <w:pPr>
        <w:spacing w:after="0" w:line="480" w:lineRule="auto"/>
        <w:jc w:val="both"/>
        <w:rPr>
          <w:rFonts w:ascii="Times New Roman" w:hAnsi="Times New Roman" w:cs="Times New Roman"/>
          <w:sz w:val="24"/>
        </w:rPr>
      </w:pPr>
      <w:r w:rsidRPr="00E5352D">
        <w:rPr>
          <w:rFonts w:ascii="Times New Roman" w:hAnsi="Times New Roman" w:cs="Times New Roman"/>
          <w:sz w:val="24"/>
        </w:rPr>
        <w:t>The findings of the study have significant implications for the regulators of the stock market about the principles of futures markets. The results can play a vital role for regulators while reviewing the specifications of futures contracts, for instance, size of futures contract, period, daily price limit, opening day of contract, settlement etc. In addition, the regulators can assess the trading mechanisms of contracts of futures and options, which will facilitate in better risk management while improving the market liquidity. The results of this study would also help local and international investors in making decisions regarding investment in Pakistan Stock Exchange (PSX) as they can have an idea about the volatility of the market</w:t>
      </w:r>
      <w:r w:rsidR="005814F6">
        <w:rPr>
          <w:rFonts w:ascii="Times New Roman" w:hAnsi="Times New Roman" w:cs="Times New Roman"/>
          <w:sz w:val="24"/>
        </w:rPr>
        <w:t xml:space="preserve">. </w:t>
      </w:r>
    </w:p>
    <w:p w:rsidR="00EC6C66" w:rsidRDefault="00840424" w:rsidP="00840424">
      <w:pPr>
        <w:tabs>
          <w:tab w:val="left" w:pos="3465"/>
        </w:tabs>
        <w:spacing w:line="480" w:lineRule="auto"/>
        <w:jc w:val="both"/>
        <w:rPr>
          <w:rFonts w:ascii="Times New Roman" w:hAnsi="Times New Roman" w:cs="Times New Roman"/>
          <w:sz w:val="24"/>
        </w:rPr>
      </w:pPr>
      <w:r>
        <w:rPr>
          <w:rFonts w:ascii="Times New Roman" w:hAnsi="Times New Roman" w:cs="Times New Roman"/>
          <w:sz w:val="24"/>
        </w:rPr>
        <w:tab/>
      </w:r>
    </w:p>
    <w:p w:rsidR="005706C5" w:rsidRDefault="005706C5" w:rsidP="00122C3D">
      <w:pPr>
        <w:pStyle w:val="Heading1"/>
        <w:spacing w:after="240"/>
        <w:jc w:val="both"/>
        <w:rPr>
          <w:rFonts w:ascii="Times New Roman" w:hAnsi="Times New Roman" w:cs="Times New Roman"/>
          <w:b/>
          <w:color w:val="auto"/>
          <w:sz w:val="28"/>
        </w:rPr>
      </w:pPr>
      <w:bookmarkStart w:id="23" w:name="_Toc520219907"/>
    </w:p>
    <w:p w:rsidR="002A43D8" w:rsidRDefault="002A43D8" w:rsidP="002A43D8"/>
    <w:p w:rsidR="002A43D8" w:rsidRDefault="002A43D8" w:rsidP="002A43D8"/>
    <w:p w:rsidR="002A43D8" w:rsidRDefault="002A43D8" w:rsidP="002A43D8"/>
    <w:p w:rsidR="002A43D8" w:rsidRDefault="002A43D8" w:rsidP="002A43D8"/>
    <w:p w:rsidR="002A43D8" w:rsidRDefault="002A43D8" w:rsidP="002A43D8"/>
    <w:p w:rsidR="002A43D8" w:rsidRDefault="002A43D8" w:rsidP="002A43D8"/>
    <w:p w:rsidR="00033D3C" w:rsidRDefault="00033D3C" w:rsidP="002A43D8"/>
    <w:p w:rsidR="00033D3C" w:rsidRDefault="00033D3C" w:rsidP="002A43D8"/>
    <w:p w:rsidR="00033D3C" w:rsidRDefault="00033D3C" w:rsidP="002A43D8"/>
    <w:p w:rsidR="00033D3C" w:rsidRPr="002A43D8" w:rsidRDefault="00033D3C" w:rsidP="002A43D8"/>
    <w:p w:rsidR="005706C5" w:rsidRPr="005706C5" w:rsidRDefault="005706C5" w:rsidP="005706C5"/>
    <w:p w:rsidR="004E1E95" w:rsidRDefault="004E1E95" w:rsidP="00122C3D">
      <w:pPr>
        <w:pStyle w:val="Heading1"/>
        <w:spacing w:after="240"/>
        <w:jc w:val="both"/>
        <w:rPr>
          <w:rFonts w:ascii="Times New Roman" w:hAnsi="Times New Roman" w:cs="Times New Roman"/>
          <w:b/>
          <w:color w:val="auto"/>
          <w:sz w:val="28"/>
        </w:rPr>
      </w:pPr>
      <w:r w:rsidRPr="004E1E95">
        <w:rPr>
          <w:rFonts w:ascii="Times New Roman" w:hAnsi="Times New Roman" w:cs="Times New Roman"/>
          <w:b/>
          <w:color w:val="auto"/>
          <w:sz w:val="28"/>
        </w:rPr>
        <w:t>CHAPTER 6: Bibliography</w:t>
      </w:r>
      <w:bookmarkEnd w:id="23"/>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Abhyankar, A. H. (1995). Return and volatility dynamics in the FT‐SE 100 stock index and stock index futures markets. </w:t>
      </w:r>
      <w:r w:rsidRPr="001108D4">
        <w:rPr>
          <w:rFonts w:ascii="Times New Roman" w:hAnsi="Times New Roman" w:cs="Times New Roman"/>
          <w:i/>
          <w:iCs/>
          <w:sz w:val="24"/>
          <w:szCs w:val="24"/>
          <w:shd w:val="clear" w:color="auto" w:fill="FFFFFF"/>
        </w:rPr>
        <w:t>Journal of Futures Markets</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15</w:t>
      </w:r>
      <w:r w:rsidRPr="001108D4">
        <w:rPr>
          <w:rFonts w:ascii="Times New Roman" w:hAnsi="Times New Roman" w:cs="Times New Roman"/>
          <w:sz w:val="24"/>
          <w:szCs w:val="24"/>
          <w:shd w:val="clear" w:color="auto" w:fill="FFFFFF"/>
        </w:rPr>
        <w:t>(4), 457-488.</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 xml:space="preserve">Antoniou, A., &amp; Holmes, P. (1995). Futures trading, information and spot price volatility: evidence for the FTSE-100 stock index futures contract using GARCH. </w:t>
      </w:r>
      <w:r w:rsidRPr="001108D4">
        <w:rPr>
          <w:rFonts w:ascii="Times New Roman" w:hAnsi="Times New Roman" w:cs="Times New Roman"/>
          <w:i/>
          <w:sz w:val="24"/>
          <w:szCs w:val="24"/>
          <w:shd w:val="clear" w:color="auto" w:fill="FFFFFF"/>
        </w:rPr>
        <w:t>Journal of Banking &amp; Finance,</w:t>
      </w:r>
      <w:r w:rsidRPr="001108D4">
        <w:rPr>
          <w:rFonts w:ascii="Times New Roman" w:hAnsi="Times New Roman" w:cs="Times New Roman"/>
          <w:sz w:val="24"/>
          <w:szCs w:val="24"/>
          <w:shd w:val="clear" w:color="auto" w:fill="FFFFFF"/>
        </w:rPr>
        <w:t xml:space="preserve"> 19(1), 117-129.</w:t>
      </w:r>
      <w:r w:rsidRPr="001108D4">
        <w:rPr>
          <w:rFonts w:ascii="Times New Roman" w:hAnsi="Times New Roman" w:cs="Times New Roman"/>
          <w:sz w:val="24"/>
          <w:szCs w:val="24"/>
          <w:shd w:val="clear" w:color="auto" w:fill="FFFFFF"/>
        </w:rPr>
        <w:tab/>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Barro, R. J. (1986). Futures markets and the fluctuations in inflation, monetary growth, and asset returns. </w:t>
      </w:r>
      <w:r w:rsidRPr="001108D4">
        <w:rPr>
          <w:rFonts w:ascii="Times New Roman" w:hAnsi="Times New Roman" w:cs="Times New Roman"/>
          <w:i/>
          <w:iCs/>
          <w:sz w:val="24"/>
          <w:szCs w:val="24"/>
          <w:shd w:val="clear" w:color="auto" w:fill="FFFFFF"/>
        </w:rPr>
        <w:t>Journal of Business</w:t>
      </w:r>
      <w:r w:rsidRPr="001108D4">
        <w:rPr>
          <w:rFonts w:ascii="Times New Roman" w:hAnsi="Times New Roman" w:cs="Times New Roman"/>
          <w:sz w:val="24"/>
          <w:szCs w:val="24"/>
          <w:shd w:val="clear" w:color="auto" w:fill="FFFFFF"/>
        </w:rPr>
        <w:t>, S21-S38.</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Baker, N. L., &amp; Haugen, R. A. (2012). Low risk stocks outperform within all observable markets of the world.</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Bessembinder, H., &amp; Seguin, P. J. (1992). Futures‐trading activity and stock price volatility. </w:t>
      </w:r>
      <w:r w:rsidRPr="001108D4">
        <w:rPr>
          <w:rFonts w:ascii="Times New Roman" w:hAnsi="Times New Roman" w:cs="Times New Roman"/>
          <w:i/>
          <w:iCs/>
          <w:sz w:val="24"/>
          <w:szCs w:val="24"/>
          <w:shd w:val="clear" w:color="auto" w:fill="FFFFFF"/>
        </w:rPr>
        <w:t>The Journal of Finance</w:t>
      </w:r>
      <w:r w:rsidRPr="001108D4">
        <w:rPr>
          <w:rFonts w:ascii="Times New Roman" w:hAnsi="Times New Roman" w:cs="Times New Roman"/>
          <w:i/>
          <w:sz w:val="24"/>
          <w:szCs w:val="24"/>
          <w:shd w:val="clear" w:color="auto" w:fill="FFFFFF"/>
        </w:rPr>
        <w:t>,</w:t>
      </w:r>
      <w:r w:rsidRPr="001108D4">
        <w:rPr>
          <w:rFonts w:ascii="Times New Roman" w:hAnsi="Times New Roman" w:cs="Times New Roman"/>
          <w:sz w:val="24"/>
          <w:szCs w:val="24"/>
          <w:shd w:val="clear" w:color="auto" w:fill="FFFFFF"/>
        </w:rPr>
        <w:t> </w:t>
      </w:r>
      <w:r w:rsidRPr="001108D4">
        <w:rPr>
          <w:rFonts w:ascii="Times New Roman" w:hAnsi="Times New Roman" w:cs="Times New Roman"/>
          <w:iCs/>
          <w:sz w:val="24"/>
          <w:szCs w:val="24"/>
          <w:shd w:val="clear" w:color="auto" w:fill="FFFFFF"/>
        </w:rPr>
        <w:t>47</w:t>
      </w:r>
      <w:r w:rsidRPr="001108D4">
        <w:rPr>
          <w:rFonts w:ascii="Times New Roman" w:hAnsi="Times New Roman" w:cs="Times New Roman"/>
          <w:sz w:val="24"/>
          <w:szCs w:val="24"/>
          <w:shd w:val="clear" w:color="auto" w:fill="FFFFFF"/>
        </w:rPr>
        <w:t>(5), 2015-2034.</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Black, F. (1986). Noise. </w:t>
      </w:r>
      <w:r w:rsidRPr="001108D4">
        <w:rPr>
          <w:rFonts w:ascii="Times New Roman" w:hAnsi="Times New Roman" w:cs="Times New Roman"/>
          <w:i/>
          <w:iCs/>
          <w:sz w:val="24"/>
          <w:szCs w:val="24"/>
          <w:shd w:val="clear" w:color="auto" w:fill="FFFFFF"/>
        </w:rPr>
        <w:t>The journal of finance</w:t>
      </w:r>
      <w:r w:rsidRPr="001108D4">
        <w:rPr>
          <w:rFonts w:ascii="Times New Roman" w:hAnsi="Times New Roman" w:cs="Times New Roman"/>
          <w:sz w:val="24"/>
          <w:szCs w:val="24"/>
          <w:shd w:val="clear" w:color="auto" w:fill="FFFFFF"/>
        </w:rPr>
        <w:t>, </w:t>
      </w:r>
      <w:r w:rsidRPr="001108D4">
        <w:rPr>
          <w:rFonts w:ascii="Times New Roman" w:hAnsi="Times New Roman" w:cs="Times New Roman"/>
          <w:iCs/>
          <w:sz w:val="24"/>
          <w:szCs w:val="24"/>
          <w:shd w:val="clear" w:color="auto" w:fill="FFFFFF"/>
        </w:rPr>
        <w:t>41</w:t>
      </w:r>
      <w:r w:rsidRPr="001108D4">
        <w:rPr>
          <w:rFonts w:ascii="Times New Roman" w:hAnsi="Times New Roman" w:cs="Times New Roman"/>
          <w:sz w:val="24"/>
          <w:szCs w:val="24"/>
          <w:shd w:val="clear" w:color="auto" w:fill="FFFFFF"/>
        </w:rPr>
        <w:t>(3), 528-543.</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Bollerslev, T. (1986). Generalized autoregressive conditional heteroskedasticity. </w:t>
      </w:r>
      <w:r w:rsidRPr="001108D4">
        <w:rPr>
          <w:rFonts w:ascii="Times New Roman" w:hAnsi="Times New Roman" w:cs="Times New Roman"/>
          <w:i/>
          <w:iCs/>
          <w:sz w:val="24"/>
          <w:szCs w:val="24"/>
          <w:shd w:val="clear" w:color="auto" w:fill="FFFFFF"/>
        </w:rPr>
        <w:t>Journal of econometrics</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31</w:t>
      </w:r>
      <w:r w:rsidRPr="001108D4">
        <w:rPr>
          <w:rFonts w:ascii="Times New Roman" w:hAnsi="Times New Roman" w:cs="Times New Roman"/>
          <w:sz w:val="24"/>
          <w:szCs w:val="24"/>
          <w:shd w:val="clear" w:color="auto" w:fill="FFFFFF"/>
        </w:rPr>
        <w:t>(3), 307-327.</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Bollerslev, T., Engle, R. F., &amp; Wooldridge, J. M. (1988). A capital asset pricing model with time-varying covariances. </w:t>
      </w:r>
      <w:r w:rsidRPr="001108D4">
        <w:rPr>
          <w:rFonts w:ascii="Times New Roman" w:hAnsi="Times New Roman" w:cs="Times New Roman"/>
          <w:i/>
          <w:iCs/>
          <w:sz w:val="24"/>
          <w:szCs w:val="24"/>
          <w:shd w:val="clear" w:color="auto" w:fill="FFFFFF"/>
        </w:rPr>
        <w:t>Journal of political Economy</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96</w:t>
      </w:r>
      <w:r w:rsidRPr="001108D4">
        <w:rPr>
          <w:rFonts w:ascii="Times New Roman" w:hAnsi="Times New Roman" w:cs="Times New Roman"/>
          <w:sz w:val="24"/>
          <w:szCs w:val="24"/>
          <w:shd w:val="clear" w:color="auto" w:fill="FFFFFF"/>
        </w:rPr>
        <w:t>(1), 116-131.</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Bollerslev, T. (1990). Modelling the coherence in short-run nominal exchange rates: a multivariate generalized ARCH model. </w:t>
      </w:r>
      <w:r w:rsidRPr="001108D4">
        <w:rPr>
          <w:rFonts w:ascii="Times New Roman" w:hAnsi="Times New Roman" w:cs="Times New Roman"/>
          <w:i/>
          <w:iCs/>
          <w:sz w:val="24"/>
          <w:szCs w:val="24"/>
          <w:shd w:val="clear" w:color="auto" w:fill="FFFFFF"/>
        </w:rPr>
        <w:t>The review of economics and statistics</w:t>
      </w:r>
      <w:r w:rsidRPr="001108D4">
        <w:rPr>
          <w:rFonts w:ascii="Times New Roman" w:hAnsi="Times New Roman" w:cs="Times New Roman"/>
          <w:sz w:val="24"/>
          <w:szCs w:val="24"/>
          <w:shd w:val="clear" w:color="auto" w:fill="FFFFFF"/>
        </w:rPr>
        <w:t>, 498-505.</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lastRenderedPageBreak/>
        <w:t>Bray, M. (1981). Futures trading, rational expectations, and the efficient markets hypothesis. </w:t>
      </w:r>
      <w:r w:rsidRPr="001108D4">
        <w:rPr>
          <w:rFonts w:ascii="Times New Roman" w:hAnsi="Times New Roman" w:cs="Times New Roman"/>
          <w:i/>
          <w:iCs/>
          <w:sz w:val="24"/>
          <w:szCs w:val="24"/>
          <w:shd w:val="clear" w:color="auto" w:fill="FFFFFF"/>
        </w:rPr>
        <w:t>Econometrica: Journal of the Econometric Society</w:t>
      </w:r>
      <w:r w:rsidRPr="001108D4">
        <w:rPr>
          <w:rFonts w:ascii="Times New Roman" w:hAnsi="Times New Roman" w:cs="Times New Roman"/>
          <w:sz w:val="24"/>
          <w:szCs w:val="24"/>
          <w:shd w:val="clear" w:color="auto" w:fill="FFFFFF"/>
        </w:rPr>
        <w:t>, 575-596.</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Brown‐Hruska, S., &amp;Kuserk, G. (1995). Volatility, volume, and the notion of balance in the S&amp;P 500 cash and futures markets. </w:t>
      </w:r>
      <w:r w:rsidRPr="001108D4">
        <w:rPr>
          <w:rFonts w:ascii="Times New Roman" w:hAnsi="Times New Roman" w:cs="Times New Roman"/>
          <w:i/>
          <w:iCs/>
          <w:sz w:val="24"/>
          <w:szCs w:val="24"/>
          <w:shd w:val="clear" w:color="auto" w:fill="FFFFFF"/>
        </w:rPr>
        <w:t>Journal of futures markets</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15</w:t>
      </w:r>
      <w:r w:rsidRPr="001108D4">
        <w:rPr>
          <w:rFonts w:ascii="Times New Roman" w:hAnsi="Times New Roman" w:cs="Times New Roman"/>
          <w:sz w:val="24"/>
          <w:szCs w:val="24"/>
          <w:shd w:val="clear" w:color="auto" w:fill="FFFFFF"/>
        </w:rPr>
        <w:t>(6), 677-689.</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Cagan, P. (1981). Financial futures markets: Is more regulation needed?. </w:t>
      </w:r>
      <w:r w:rsidRPr="001108D4">
        <w:rPr>
          <w:rFonts w:ascii="Times New Roman" w:hAnsi="Times New Roman" w:cs="Times New Roman"/>
          <w:i/>
          <w:iCs/>
          <w:sz w:val="24"/>
          <w:szCs w:val="24"/>
          <w:shd w:val="clear" w:color="auto" w:fill="FFFFFF"/>
        </w:rPr>
        <w:t>Journal of Futures Markets</w:t>
      </w:r>
      <w:r w:rsidRPr="001108D4">
        <w:rPr>
          <w:rFonts w:ascii="Times New Roman" w:hAnsi="Times New Roman" w:cs="Times New Roman"/>
          <w:sz w:val="24"/>
          <w:szCs w:val="24"/>
          <w:shd w:val="clear" w:color="auto" w:fill="FFFFFF"/>
        </w:rPr>
        <w:t>, </w:t>
      </w:r>
      <w:r w:rsidRPr="001108D4">
        <w:rPr>
          <w:rFonts w:ascii="Times New Roman" w:hAnsi="Times New Roman" w:cs="Times New Roman"/>
          <w:iCs/>
          <w:sz w:val="24"/>
          <w:szCs w:val="24"/>
          <w:shd w:val="clear" w:color="auto" w:fill="FFFFFF"/>
        </w:rPr>
        <w:t>1</w:t>
      </w:r>
      <w:r w:rsidRPr="001108D4">
        <w:rPr>
          <w:rFonts w:ascii="Times New Roman" w:hAnsi="Times New Roman" w:cs="Times New Roman"/>
          <w:sz w:val="24"/>
          <w:szCs w:val="24"/>
          <w:shd w:val="clear" w:color="auto" w:fill="FFFFFF"/>
        </w:rPr>
        <w:t>(2), 169-189.</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Carhart, M. M. (1997). On persistence in mutual fund performance. </w:t>
      </w:r>
      <w:r w:rsidRPr="001108D4">
        <w:rPr>
          <w:rFonts w:ascii="Times New Roman" w:hAnsi="Times New Roman" w:cs="Times New Roman"/>
          <w:i/>
          <w:iCs/>
          <w:sz w:val="24"/>
          <w:szCs w:val="24"/>
          <w:shd w:val="clear" w:color="auto" w:fill="FFFFFF"/>
        </w:rPr>
        <w:t>The Journal of finance</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52</w:t>
      </w:r>
      <w:r w:rsidRPr="001108D4">
        <w:rPr>
          <w:rFonts w:ascii="Times New Roman" w:hAnsi="Times New Roman" w:cs="Times New Roman"/>
          <w:sz w:val="24"/>
          <w:szCs w:val="24"/>
          <w:shd w:val="clear" w:color="auto" w:fill="FFFFFF"/>
        </w:rPr>
        <w:t>(1), 57-82.</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 xml:space="preserve">Chu, Q. C., Hsieh, W. L. G., &amp;Tse, Y. (1999). Price discovery on the S&amp;P 500 index markets: An analysis of spot index, index futures, and SPDRs. </w:t>
      </w:r>
      <w:r w:rsidRPr="001108D4">
        <w:rPr>
          <w:rFonts w:ascii="Times New Roman" w:hAnsi="Times New Roman" w:cs="Times New Roman"/>
          <w:i/>
          <w:sz w:val="24"/>
          <w:szCs w:val="24"/>
          <w:shd w:val="clear" w:color="auto" w:fill="FFFFFF"/>
        </w:rPr>
        <w:t>International Review of Financial Analysis</w:t>
      </w:r>
      <w:r w:rsidRPr="001108D4">
        <w:rPr>
          <w:rFonts w:ascii="Times New Roman" w:hAnsi="Times New Roman" w:cs="Times New Roman"/>
          <w:sz w:val="24"/>
          <w:szCs w:val="24"/>
          <w:shd w:val="clear" w:color="auto" w:fill="FFFFFF"/>
        </w:rPr>
        <w:t>, 8(1), 21-34.</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Chan, K. (1992). A further analysis of the lead–lag relationship between the cash market and stock index futures market. </w:t>
      </w:r>
      <w:r w:rsidRPr="001108D4">
        <w:rPr>
          <w:rFonts w:ascii="Times New Roman" w:hAnsi="Times New Roman" w:cs="Times New Roman"/>
          <w:i/>
          <w:iCs/>
          <w:sz w:val="24"/>
          <w:szCs w:val="24"/>
          <w:shd w:val="clear" w:color="auto" w:fill="FFFFFF"/>
        </w:rPr>
        <w:t>The Review of Financial Studies</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5</w:t>
      </w:r>
      <w:r w:rsidRPr="001108D4">
        <w:rPr>
          <w:rFonts w:ascii="Times New Roman" w:hAnsi="Times New Roman" w:cs="Times New Roman"/>
          <w:sz w:val="24"/>
          <w:szCs w:val="24"/>
          <w:shd w:val="clear" w:color="auto" w:fill="FFFFFF"/>
        </w:rPr>
        <w:t>(1), 123-152.</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Choudhary, K., &amp; Bajaj, S. (2012). Intraday lead/lag relationships between the futures and spot market. </w:t>
      </w:r>
      <w:r w:rsidRPr="001108D4">
        <w:rPr>
          <w:rFonts w:ascii="Times New Roman" w:hAnsi="Times New Roman" w:cs="Times New Roman"/>
          <w:i/>
          <w:iCs/>
          <w:sz w:val="24"/>
          <w:szCs w:val="24"/>
          <w:shd w:val="clear" w:color="auto" w:fill="FFFFFF"/>
        </w:rPr>
        <w:t>Eurasian Journal of Business and Economics</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5</w:t>
      </w:r>
      <w:r w:rsidRPr="001108D4">
        <w:rPr>
          <w:rFonts w:ascii="Times New Roman" w:hAnsi="Times New Roman" w:cs="Times New Roman"/>
          <w:sz w:val="24"/>
          <w:szCs w:val="24"/>
          <w:shd w:val="clear" w:color="auto" w:fill="FFFFFF"/>
        </w:rPr>
        <w:t>(9), 165-186.</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Clarke, R., De Silva, H., &amp; Thorley, S. (2006). Minimum-variance portfolios in the US equity market. </w:t>
      </w:r>
      <w:r w:rsidRPr="001108D4">
        <w:rPr>
          <w:rFonts w:ascii="Times New Roman" w:hAnsi="Times New Roman" w:cs="Times New Roman"/>
          <w:i/>
          <w:iCs/>
          <w:sz w:val="24"/>
          <w:szCs w:val="24"/>
          <w:shd w:val="clear" w:color="auto" w:fill="FFFFFF"/>
        </w:rPr>
        <w:t>Journal of Portfolio Management</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33</w:t>
      </w:r>
      <w:r w:rsidRPr="001108D4">
        <w:rPr>
          <w:rFonts w:ascii="Times New Roman" w:hAnsi="Times New Roman" w:cs="Times New Roman"/>
          <w:sz w:val="24"/>
          <w:szCs w:val="24"/>
          <w:shd w:val="clear" w:color="auto" w:fill="FFFFFF"/>
        </w:rPr>
        <w:t>(1), 10.</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 xml:space="preserve">Cox, C. C. (1976). Futures trading and market information. </w:t>
      </w:r>
      <w:r w:rsidRPr="001108D4">
        <w:rPr>
          <w:rFonts w:ascii="Times New Roman" w:hAnsi="Times New Roman" w:cs="Times New Roman"/>
          <w:i/>
          <w:sz w:val="24"/>
          <w:szCs w:val="24"/>
          <w:shd w:val="clear" w:color="auto" w:fill="FFFFFF"/>
        </w:rPr>
        <w:t>Journal of Political Economy,</w:t>
      </w:r>
      <w:r w:rsidRPr="001108D4">
        <w:rPr>
          <w:rFonts w:ascii="Times New Roman" w:hAnsi="Times New Roman" w:cs="Times New Roman"/>
          <w:sz w:val="24"/>
          <w:szCs w:val="24"/>
          <w:shd w:val="clear" w:color="auto" w:fill="FFFFFF"/>
        </w:rPr>
        <w:t xml:space="preserve"> 84(6), 1215-1237.</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Danthine, J. P. (1978). Information, futures prices, and stabilizing speculation. </w:t>
      </w:r>
      <w:r w:rsidRPr="001108D4">
        <w:rPr>
          <w:rFonts w:ascii="Times New Roman" w:hAnsi="Times New Roman" w:cs="Times New Roman"/>
          <w:i/>
          <w:iCs/>
          <w:sz w:val="24"/>
          <w:szCs w:val="24"/>
          <w:shd w:val="clear" w:color="auto" w:fill="FFFFFF"/>
        </w:rPr>
        <w:t>Journal of Economic Theory</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17</w:t>
      </w:r>
      <w:r w:rsidRPr="001108D4">
        <w:rPr>
          <w:rFonts w:ascii="Times New Roman" w:hAnsi="Times New Roman" w:cs="Times New Roman"/>
          <w:sz w:val="24"/>
          <w:szCs w:val="24"/>
          <w:shd w:val="clear" w:color="auto" w:fill="FFFFFF"/>
        </w:rPr>
        <w:t>(1), 79-98.</w:t>
      </w:r>
    </w:p>
    <w:p w:rsidR="004E1E95" w:rsidRPr="00766633" w:rsidRDefault="004E1E95" w:rsidP="004E1E95">
      <w:pPr>
        <w:ind w:left="720" w:hanging="720"/>
        <w:jc w:val="both"/>
        <w:rPr>
          <w:rFonts w:ascii="Times New Roman" w:hAnsi="Times New Roman" w:cs="Times New Roman"/>
          <w:sz w:val="24"/>
          <w:szCs w:val="24"/>
          <w:shd w:val="clear" w:color="auto" w:fill="FFFFFF"/>
        </w:rPr>
      </w:pPr>
      <w:r w:rsidRPr="00766633">
        <w:rPr>
          <w:rFonts w:ascii="Times New Roman" w:hAnsi="Times New Roman" w:cs="Times New Roman"/>
          <w:sz w:val="24"/>
          <w:szCs w:val="24"/>
          <w:shd w:val="clear" w:color="auto" w:fill="FFFFFF"/>
        </w:rPr>
        <w:t>Darrat, A. F., Rahman, S., &amp;Zhong, M. (2002). On the role of futures trading in spot market fluctuations: perpetrator of volatility or victim of regret</w:t>
      </w:r>
      <w:r w:rsidR="00766633" w:rsidRPr="00766633">
        <w:rPr>
          <w:rFonts w:ascii="Times New Roman" w:hAnsi="Times New Roman" w:cs="Times New Roman"/>
          <w:sz w:val="24"/>
          <w:szCs w:val="24"/>
          <w:shd w:val="clear" w:color="auto" w:fill="FFFFFF"/>
        </w:rPr>
        <w:t>?</w:t>
      </w:r>
      <w:r w:rsidRPr="00766633">
        <w:rPr>
          <w:rFonts w:ascii="Times New Roman" w:hAnsi="Times New Roman" w:cs="Times New Roman"/>
          <w:sz w:val="24"/>
          <w:szCs w:val="24"/>
          <w:shd w:val="clear" w:color="auto" w:fill="FFFFFF"/>
        </w:rPr>
        <w:t> </w:t>
      </w:r>
      <w:r w:rsidRPr="00766633">
        <w:rPr>
          <w:rFonts w:ascii="Times New Roman" w:hAnsi="Times New Roman" w:cs="Times New Roman"/>
          <w:i/>
          <w:iCs/>
          <w:sz w:val="24"/>
          <w:szCs w:val="24"/>
          <w:shd w:val="clear" w:color="auto" w:fill="FFFFFF"/>
        </w:rPr>
        <w:t>Journal of Financial Research</w:t>
      </w:r>
      <w:r w:rsidRPr="00766633">
        <w:rPr>
          <w:rFonts w:ascii="Times New Roman" w:hAnsi="Times New Roman" w:cs="Times New Roman"/>
          <w:sz w:val="24"/>
          <w:szCs w:val="24"/>
          <w:shd w:val="clear" w:color="auto" w:fill="FFFFFF"/>
        </w:rPr>
        <w:t>, 25(3), 431-444.</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Debasish, S. S. (2009). An empirical study on impact of index futures trading on spot market in India. KCA Journal of Business Management, 2(2).</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 xml:space="preserve">De Beer, J. (2009). Changes in the volatility level and structure of shares post single stock futures trading. </w:t>
      </w:r>
      <w:r w:rsidRPr="001108D4">
        <w:rPr>
          <w:rFonts w:ascii="Times New Roman" w:hAnsi="Times New Roman" w:cs="Times New Roman"/>
          <w:i/>
          <w:sz w:val="24"/>
          <w:szCs w:val="24"/>
          <w:shd w:val="clear" w:color="auto" w:fill="FFFFFF"/>
        </w:rPr>
        <w:t>Control Ownership &amp; Control</w:t>
      </w:r>
      <w:r w:rsidRPr="001108D4">
        <w:rPr>
          <w:rFonts w:ascii="Times New Roman" w:hAnsi="Times New Roman" w:cs="Times New Roman"/>
          <w:sz w:val="24"/>
          <w:szCs w:val="24"/>
          <w:shd w:val="clear" w:color="auto" w:fill="FFFFFF"/>
        </w:rPr>
        <w:t>, 7 (2), 296-311.</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Drimbetas, E., Sariannidis, N., &amp;Porfiris, N. (2007). The effect of derivatives trading on volatility of the underlying asset: evidence from the Greek stock market. </w:t>
      </w:r>
      <w:r w:rsidRPr="001108D4">
        <w:rPr>
          <w:rFonts w:ascii="Times New Roman" w:hAnsi="Times New Roman" w:cs="Times New Roman"/>
          <w:i/>
          <w:iCs/>
          <w:sz w:val="24"/>
          <w:szCs w:val="24"/>
          <w:shd w:val="clear" w:color="auto" w:fill="FFFFFF"/>
        </w:rPr>
        <w:t>Applied Financial Economics</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17</w:t>
      </w:r>
      <w:r w:rsidRPr="001108D4">
        <w:rPr>
          <w:rFonts w:ascii="Times New Roman" w:hAnsi="Times New Roman" w:cs="Times New Roman"/>
          <w:sz w:val="24"/>
          <w:szCs w:val="24"/>
          <w:shd w:val="clear" w:color="auto" w:fill="FFFFFF"/>
        </w:rPr>
        <w:t>(2), 139-148.</w:t>
      </w:r>
    </w:p>
    <w:p w:rsidR="004E1E95" w:rsidRPr="001108D4" w:rsidRDefault="004E1E95" w:rsidP="004E1E95">
      <w:pPr>
        <w:ind w:left="720" w:hanging="720"/>
        <w:jc w:val="both"/>
        <w:rPr>
          <w:rFonts w:ascii="Times New Roman" w:hAnsi="Times New Roman" w:cs="Times New Roman"/>
          <w:sz w:val="24"/>
          <w:szCs w:val="24"/>
        </w:rPr>
      </w:pPr>
      <w:r w:rsidRPr="001108D4">
        <w:rPr>
          <w:rFonts w:ascii="Times New Roman" w:hAnsi="Times New Roman" w:cs="Times New Roman"/>
          <w:sz w:val="24"/>
          <w:szCs w:val="24"/>
        </w:rPr>
        <w:t>Edwards, F. R. (1988). Does futures trading increase stock market volatility?.</w:t>
      </w:r>
      <w:r w:rsidRPr="001108D4">
        <w:rPr>
          <w:rFonts w:ascii="Times New Roman" w:hAnsi="Times New Roman" w:cs="Times New Roman"/>
          <w:i/>
          <w:sz w:val="24"/>
          <w:szCs w:val="24"/>
        </w:rPr>
        <w:t>Financial Analysts Journal,</w:t>
      </w:r>
      <w:r w:rsidRPr="001108D4">
        <w:rPr>
          <w:rFonts w:ascii="Times New Roman" w:hAnsi="Times New Roman" w:cs="Times New Roman"/>
          <w:sz w:val="24"/>
          <w:szCs w:val="24"/>
        </w:rPr>
        <w:t xml:space="preserve"> 44(1), 63-69.</w:t>
      </w:r>
    </w:p>
    <w:p w:rsidR="004E1E95" w:rsidRPr="001108D4" w:rsidRDefault="004E1E95" w:rsidP="004E1E95">
      <w:pPr>
        <w:ind w:left="720" w:hanging="720"/>
        <w:jc w:val="both"/>
        <w:rPr>
          <w:rFonts w:ascii="Times New Roman" w:hAnsi="Times New Roman" w:cs="Times New Roman"/>
          <w:sz w:val="24"/>
          <w:szCs w:val="24"/>
        </w:rPr>
      </w:pPr>
      <w:r w:rsidRPr="001108D4">
        <w:rPr>
          <w:rFonts w:ascii="Times New Roman" w:hAnsi="Times New Roman" w:cs="Times New Roman"/>
          <w:sz w:val="24"/>
          <w:szCs w:val="24"/>
        </w:rPr>
        <w:lastRenderedPageBreak/>
        <w:t>Engle, R. F. (1982). Autoregressive conditional heteroscedasticity with estimates of the variance of United Kingdom inflation. </w:t>
      </w:r>
      <w:r w:rsidRPr="001108D4">
        <w:rPr>
          <w:rFonts w:ascii="Times New Roman" w:hAnsi="Times New Roman" w:cs="Times New Roman"/>
          <w:i/>
          <w:iCs/>
          <w:sz w:val="24"/>
          <w:szCs w:val="24"/>
        </w:rPr>
        <w:t>Econometrica: Journal of the Econometric Society</w:t>
      </w:r>
      <w:r w:rsidRPr="001108D4">
        <w:rPr>
          <w:rFonts w:ascii="Times New Roman" w:hAnsi="Times New Roman" w:cs="Times New Roman"/>
          <w:sz w:val="24"/>
          <w:szCs w:val="24"/>
        </w:rPr>
        <w:t>, 987-1007.</w:t>
      </w:r>
    </w:p>
    <w:p w:rsidR="004E1E95" w:rsidRPr="001108D4" w:rsidRDefault="004E1E95" w:rsidP="004E1E95">
      <w:pPr>
        <w:ind w:left="720" w:hanging="720"/>
        <w:jc w:val="both"/>
        <w:rPr>
          <w:rFonts w:ascii="Times New Roman" w:hAnsi="Times New Roman" w:cs="Times New Roman"/>
          <w:sz w:val="24"/>
          <w:szCs w:val="24"/>
        </w:rPr>
      </w:pPr>
      <w:r w:rsidRPr="001108D4">
        <w:rPr>
          <w:rFonts w:ascii="Times New Roman" w:hAnsi="Times New Roman" w:cs="Times New Roman"/>
          <w:sz w:val="24"/>
          <w:szCs w:val="24"/>
        </w:rPr>
        <w:t>Engle, R. F., &amp;Bollerslev, T. (1986). Modelling the persistence of conditional variances. </w:t>
      </w:r>
      <w:r w:rsidRPr="001108D4">
        <w:rPr>
          <w:rFonts w:ascii="Times New Roman" w:hAnsi="Times New Roman" w:cs="Times New Roman"/>
          <w:i/>
          <w:iCs/>
          <w:sz w:val="24"/>
          <w:szCs w:val="24"/>
        </w:rPr>
        <w:t>Econometric reviews</w:t>
      </w:r>
      <w:r w:rsidRPr="001108D4">
        <w:rPr>
          <w:rFonts w:ascii="Times New Roman" w:hAnsi="Times New Roman" w:cs="Times New Roman"/>
          <w:sz w:val="24"/>
          <w:szCs w:val="24"/>
        </w:rPr>
        <w:t>, </w:t>
      </w:r>
      <w:r w:rsidRPr="001108D4">
        <w:rPr>
          <w:rFonts w:ascii="Times New Roman" w:hAnsi="Times New Roman" w:cs="Times New Roman"/>
          <w:i/>
          <w:iCs/>
          <w:sz w:val="24"/>
          <w:szCs w:val="24"/>
        </w:rPr>
        <w:t>5</w:t>
      </w:r>
      <w:r w:rsidRPr="001108D4">
        <w:rPr>
          <w:rFonts w:ascii="Times New Roman" w:hAnsi="Times New Roman" w:cs="Times New Roman"/>
          <w:sz w:val="24"/>
          <w:szCs w:val="24"/>
        </w:rPr>
        <w:t>(1), 1-50.</w:t>
      </w:r>
    </w:p>
    <w:p w:rsidR="004E1E95" w:rsidRPr="001108D4" w:rsidRDefault="004E1E95" w:rsidP="004E1E95">
      <w:pPr>
        <w:ind w:left="720" w:hanging="720"/>
        <w:jc w:val="both"/>
        <w:rPr>
          <w:rFonts w:ascii="Times New Roman" w:hAnsi="Times New Roman" w:cs="Times New Roman"/>
          <w:sz w:val="24"/>
          <w:szCs w:val="24"/>
        </w:rPr>
      </w:pPr>
      <w:r w:rsidRPr="001108D4">
        <w:rPr>
          <w:rFonts w:ascii="Times New Roman" w:hAnsi="Times New Roman" w:cs="Times New Roman"/>
          <w:sz w:val="24"/>
          <w:szCs w:val="24"/>
        </w:rPr>
        <w:t>Engle, R. F., &amp; Kroner, K. F. (1995). Multivariate simultaneous generalized ARCH. </w:t>
      </w:r>
      <w:r w:rsidRPr="001108D4">
        <w:rPr>
          <w:rFonts w:ascii="Times New Roman" w:hAnsi="Times New Roman" w:cs="Times New Roman"/>
          <w:i/>
          <w:iCs/>
          <w:sz w:val="24"/>
          <w:szCs w:val="24"/>
        </w:rPr>
        <w:t>Econometric theory</w:t>
      </w:r>
      <w:r w:rsidRPr="001108D4">
        <w:rPr>
          <w:rFonts w:ascii="Times New Roman" w:hAnsi="Times New Roman" w:cs="Times New Roman"/>
          <w:sz w:val="24"/>
          <w:szCs w:val="24"/>
        </w:rPr>
        <w:t>, </w:t>
      </w:r>
      <w:r w:rsidRPr="001108D4">
        <w:rPr>
          <w:rFonts w:ascii="Times New Roman" w:hAnsi="Times New Roman" w:cs="Times New Roman"/>
          <w:i/>
          <w:iCs/>
          <w:sz w:val="24"/>
          <w:szCs w:val="24"/>
        </w:rPr>
        <w:t>11</w:t>
      </w:r>
      <w:r w:rsidRPr="001108D4">
        <w:rPr>
          <w:rFonts w:ascii="Times New Roman" w:hAnsi="Times New Roman" w:cs="Times New Roman"/>
          <w:sz w:val="24"/>
          <w:szCs w:val="24"/>
        </w:rPr>
        <w:t>(1), 122-150.</w:t>
      </w:r>
    </w:p>
    <w:p w:rsidR="004E1E95" w:rsidRPr="001108D4" w:rsidRDefault="004E1E95" w:rsidP="004E1E95">
      <w:pPr>
        <w:ind w:left="720" w:hanging="720"/>
        <w:jc w:val="both"/>
        <w:rPr>
          <w:rFonts w:ascii="Times New Roman" w:hAnsi="Times New Roman" w:cs="Times New Roman"/>
          <w:sz w:val="24"/>
          <w:szCs w:val="24"/>
        </w:rPr>
      </w:pPr>
      <w:r w:rsidRPr="001108D4">
        <w:rPr>
          <w:rFonts w:ascii="Times New Roman" w:hAnsi="Times New Roman" w:cs="Times New Roman"/>
          <w:sz w:val="24"/>
          <w:szCs w:val="24"/>
        </w:rPr>
        <w:t>Fama, E. F. (1995). Random walks in stock market prices. </w:t>
      </w:r>
      <w:r w:rsidR="00766633">
        <w:rPr>
          <w:rFonts w:ascii="Times New Roman" w:hAnsi="Times New Roman" w:cs="Times New Roman"/>
          <w:i/>
          <w:iCs/>
          <w:sz w:val="24"/>
          <w:szCs w:val="24"/>
        </w:rPr>
        <w:t>Financial A</w:t>
      </w:r>
      <w:r w:rsidRPr="001108D4">
        <w:rPr>
          <w:rFonts w:ascii="Times New Roman" w:hAnsi="Times New Roman" w:cs="Times New Roman"/>
          <w:i/>
          <w:iCs/>
          <w:sz w:val="24"/>
          <w:szCs w:val="24"/>
        </w:rPr>
        <w:t>nalysts journal</w:t>
      </w:r>
      <w:r w:rsidRPr="001108D4">
        <w:rPr>
          <w:rFonts w:ascii="Times New Roman" w:hAnsi="Times New Roman" w:cs="Times New Roman"/>
          <w:sz w:val="24"/>
          <w:szCs w:val="24"/>
        </w:rPr>
        <w:t>, </w:t>
      </w:r>
      <w:r w:rsidRPr="001108D4">
        <w:rPr>
          <w:rFonts w:ascii="Times New Roman" w:hAnsi="Times New Roman" w:cs="Times New Roman"/>
          <w:i/>
          <w:iCs/>
          <w:sz w:val="24"/>
          <w:szCs w:val="24"/>
        </w:rPr>
        <w:t>51</w:t>
      </w:r>
      <w:r w:rsidRPr="001108D4">
        <w:rPr>
          <w:rFonts w:ascii="Times New Roman" w:hAnsi="Times New Roman" w:cs="Times New Roman"/>
          <w:sz w:val="24"/>
          <w:szCs w:val="24"/>
        </w:rPr>
        <w:t>(1), 75-80.</w:t>
      </w:r>
    </w:p>
    <w:p w:rsidR="004E1E95" w:rsidRPr="001108D4" w:rsidRDefault="004E1E95" w:rsidP="004E1E95">
      <w:pPr>
        <w:ind w:left="720" w:hanging="720"/>
        <w:jc w:val="both"/>
        <w:rPr>
          <w:rFonts w:ascii="Times New Roman" w:hAnsi="Times New Roman" w:cs="Times New Roman"/>
          <w:sz w:val="24"/>
          <w:szCs w:val="24"/>
        </w:rPr>
      </w:pPr>
      <w:r w:rsidRPr="001108D4">
        <w:rPr>
          <w:rFonts w:ascii="Times New Roman" w:hAnsi="Times New Roman" w:cs="Times New Roman"/>
          <w:sz w:val="24"/>
          <w:szCs w:val="24"/>
        </w:rPr>
        <w:t>Fama, E. F., &amp; French, K. R. (1992). The cross‐section of expected stock returns. </w:t>
      </w:r>
      <w:r w:rsidRPr="001108D4">
        <w:rPr>
          <w:rFonts w:ascii="Times New Roman" w:hAnsi="Times New Roman" w:cs="Times New Roman"/>
          <w:i/>
          <w:iCs/>
          <w:sz w:val="24"/>
          <w:szCs w:val="24"/>
        </w:rPr>
        <w:t>Journal of Finance</w:t>
      </w:r>
      <w:r w:rsidRPr="001108D4">
        <w:rPr>
          <w:rFonts w:ascii="Times New Roman" w:hAnsi="Times New Roman" w:cs="Times New Roman"/>
          <w:sz w:val="24"/>
          <w:szCs w:val="24"/>
        </w:rPr>
        <w:t>, </w:t>
      </w:r>
      <w:r w:rsidRPr="001108D4">
        <w:rPr>
          <w:rFonts w:ascii="Times New Roman" w:hAnsi="Times New Roman" w:cs="Times New Roman"/>
          <w:i/>
          <w:iCs/>
          <w:sz w:val="24"/>
          <w:szCs w:val="24"/>
        </w:rPr>
        <w:t>47</w:t>
      </w:r>
      <w:r w:rsidRPr="001108D4">
        <w:rPr>
          <w:rFonts w:ascii="Times New Roman" w:hAnsi="Times New Roman" w:cs="Times New Roman"/>
          <w:sz w:val="24"/>
          <w:szCs w:val="24"/>
        </w:rPr>
        <w:t>(2), 427-465.</w:t>
      </w:r>
    </w:p>
    <w:p w:rsidR="004E1E95" w:rsidRPr="001108D4" w:rsidRDefault="004E1E95" w:rsidP="004E1E95">
      <w:pPr>
        <w:ind w:left="720" w:hanging="720"/>
        <w:jc w:val="both"/>
        <w:rPr>
          <w:rFonts w:ascii="Times New Roman" w:hAnsi="Times New Roman" w:cs="Times New Roman"/>
          <w:sz w:val="24"/>
          <w:szCs w:val="24"/>
        </w:rPr>
      </w:pPr>
      <w:r w:rsidRPr="001108D4">
        <w:rPr>
          <w:rFonts w:ascii="Times New Roman" w:hAnsi="Times New Roman" w:cs="Times New Roman"/>
          <w:sz w:val="24"/>
          <w:szCs w:val="24"/>
        </w:rPr>
        <w:t>Figlewski, S. (1981). Futures trading and volatility in the GNMA market. </w:t>
      </w:r>
      <w:r w:rsidR="0024665B">
        <w:rPr>
          <w:rFonts w:ascii="Times New Roman" w:hAnsi="Times New Roman" w:cs="Times New Roman"/>
          <w:i/>
          <w:iCs/>
          <w:sz w:val="24"/>
          <w:szCs w:val="24"/>
        </w:rPr>
        <w:t>J</w:t>
      </w:r>
      <w:r w:rsidRPr="001108D4">
        <w:rPr>
          <w:rFonts w:ascii="Times New Roman" w:hAnsi="Times New Roman" w:cs="Times New Roman"/>
          <w:i/>
          <w:iCs/>
          <w:sz w:val="24"/>
          <w:szCs w:val="24"/>
        </w:rPr>
        <w:t>ournal of Finance</w:t>
      </w:r>
      <w:r w:rsidRPr="001108D4">
        <w:rPr>
          <w:rFonts w:ascii="Times New Roman" w:hAnsi="Times New Roman" w:cs="Times New Roman"/>
          <w:sz w:val="24"/>
          <w:szCs w:val="24"/>
        </w:rPr>
        <w:t>, </w:t>
      </w:r>
      <w:r w:rsidRPr="001108D4">
        <w:rPr>
          <w:rFonts w:ascii="Times New Roman" w:hAnsi="Times New Roman" w:cs="Times New Roman"/>
          <w:i/>
          <w:iCs/>
          <w:sz w:val="24"/>
          <w:szCs w:val="24"/>
        </w:rPr>
        <w:t>36</w:t>
      </w:r>
      <w:r w:rsidRPr="001108D4">
        <w:rPr>
          <w:rFonts w:ascii="Times New Roman" w:hAnsi="Times New Roman" w:cs="Times New Roman"/>
          <w:sz w:val="24"/>
          <w:szCs w:val="24"/>
        </w:rPr>
        <w:t>(2), 445-456.</w:t>
      </w:r>
    </w:p>
    <w:p w:rsidR="004E1E95" w:rsidRPr="001108D4" w:rsidRDefault="004E1E95" w:rsidP="004E1E95">
      <w:pPr>
        <w:ind w:left="720" w:hanging="720"/>
        <w:jc w:val="both"/>
        <w:rPr>
          <w:rFonts w:ascii="Times New Roman" w:hAnsi="Times New Roman" w:cs="Times New Roman"/>
          <w:sz w:val="24"/>
          <w:szCs w:val="24"/>
        </w:rPr>
      </w:pPr>
      <w:r w:rsidRPr="001108D4">
        <w:rPr>
          <w:rFonts w:ascii="Times New Roman" w:hAnsi="Times New Roman" w:cs="Times New Roman"/>
          <w:sz w:val="24"/>
          <w:szCs w:val="24"/>
        </w:rPr>
        <w:t xml:space="preserve">Froewiss, K.C. (1978). GNMA Futures: Stabilizing or Destabilizing? </w:t>
      </w:r>
      <w:r w:rsidRPr="001108D4">
        <w:rPr>
          <w:rFonts w:ascii="Times New Roman" w:hAnsi="Times New Roman" w:cs="Times New Roman"/>
          <w:i/>
          <w:sz w:val="24"/>
          <w:szCs w:val="24"/>
        </w:rPr>
        <w:t>Federal Reserve Bank of San Francisco Economic Review</w:t>
      </w:r>
      <w:r w:rsidRPr="001108D4">
        <w:rPr>
          <w:rFonts w:ascii="Times New Roman" w:hAnsi="Times New Roman" w:cs="Times New Roman"/>
          <w:sz w:val="24"/>
          <w:szCs w:val="24"/>
        </w:rPr>
        <w:t>, 20-29.</w:t>
      </w:r>
    </w:p>
    <w:p w:rsidR="004E1E95" w:rsidRPr="001108D4" w:rsidRDefault="004E1E95" w:rsidP="004E1E95">
      <w:pPr>
        <w:ind w:left="720" w:hanging="720"/>
        <w:jc w:val="both"/>
        <w:rPr>
          <w:rFonts w:ascii="Times New Roman" w:hAnsi="Times New Roman" w:cs="Times New Roman"/>
          <w:sz w:val="24"/>
          <w:szCs w:val="24"/>
        </w:rPr>
      </w:pPr>
      <w:r w:rsidRPr="001108D4">
        <w:rPr>
          <w:rFonts w:ascii="Times New Roman" w:hAnsi="Times New Roman" w:cs="Times New Roman"/>
          <w:sz w:val="24"/>
          <w:szCs w:val="24"/>
        </w:rPr>
        <w:t>Gahlot, R., &amp;Datta, S. K. (2011). Impact of future trading on efficiency and volatility of the Indian stock market: A case of CNX 100. </w:t>
      </w:r>
      <w:r w:rsidRPr="001108D4">
        <w:rPr>
          <w:rFonts w:ascii="Times New Roman" w:hAnsi="Times New Roman" w:cs="Times New Roman"/>
          <w:i/>
          <w:iCs/>
          <w:sz w:val="24"/>
          <w:szCs w:val="24"/>
        </w:rPr>
        <w:t>Journal of Transnational Management</w:t>
      </w:r>
      <w:r w:rsidRPr="001108D4">
        <w:rPr>
          <w:rFonts w:ascii="Times New Roman" w:hAnsi="Times New Roman" w:cs="Times New Roman"/>
          <w:sz w:val="24"/>
          <w:szCs w:val="24"/>
        </w:rPr>
        <w:t>, </w:t>
      </w:r>
      <w:r w:rsidRPr="001108D4">
        <w:rPr>
          <w:rFonts w:ascii="Times New Roman" w:hAnsi="Times New Roman" w:cs="Times New Roman"/>
          <w:i/>
          <w:iCs/>
          <w:sz w:val="24"/>
          <w:szCs w:val="24"/>
        </w:rPr>
        <w:t>16</w:t>
      </w:r>
      <w:r w:rsidRPr="001108D4">
        <w:rPr>
          <w:rFonts w:ascii="Times New Roman" w:hAnsi="Times New Roman" w:cs="Times New Roman"/>
          <w:sz w:val="24"/>
          <w:szCs w:val="24"/>
        </w:rPr>
        <w:t>(1), 43-57.</w:t>
      </w:r>
    </w:p>
    <w:p w:rsidR="004E1E95" w:rsidRPr="009A6051" w:rsidRDefault="004E1E95" w:rsidP="004E1E95">
      <w:pPr>
        <w:ind w:left="720" w:hanging="720"/>
        <w:jc w:val="both"/>
        <w:rPr>
          <w:rFonts w:ascii="Times New Roman" w:hAnsi="Times New Roman" w:cs="Times New Roman"/>
          <w:sz w:val="24"/>
          <w:szCs w:val="24"/>
        </w:rPr>
      </w:pPr>
      <w:r w:rsidRPr="009A6051">
        <w:rPr>
          <w:rFonts w:ascii="Times New Roman" w:hAnsi="Times New Roman" w:cs="Times New Roman"/>
          <w:sz w:val="24"/>
          <w:szCs w:val="24"/>
        </w:rPr>
        <w:t xml:space="preserve">Gaunt, C. (2004). Size and book to market effects and the Fama French </w:t>
      </w:r>
      <w:r w:rsidR="009A6051" w:rsidRPr="009A6051">
        <w:rPr>
          <w:rFonts w:ascii="Times New Roman" w:hAnsi="Times New Roman" w:cs="Times New Roman"/>
          <w:sz w:val="24"/>
          <w:szCs w:val="24"/>
        </w:rPr>
        <w:t>three-factorasset-pricing</w:t>
      </w:r>
      <w:r w:rsidRPr="009A6051">
        <w:rPr>
          <w:rFonts w:ascii="Times New Roman" w:hAnsi="Times New Roman" w:cs="Times New Roman"/>
          <w:sz w:val="24"/>
          <w:szCs w:val="24"/>
        </w:rPr>
        <w:t xml:space="preserve"> model: evidence from the Australian stockmarket. </w:t>
      </w:r>
      <w:r w:rsidRPr="009A6051">
        <w:rPr>
          <w:rFonts w:ascii="Times New Roman" w:hAnsi="Times New Roman" w:cs="Times New Roman"/>
          <w:i/>
          <w:iCs/>
          <w:sz w:val="24"/>
          <w:szCs w:val="24"/>
        </w:rPr>
        <w:t>Accounting &amp; Finance</w:t>
      </w:r>
      <w:r w:rsidRPr="009A6051">
        <w:rPr>
          <w:rFonts w:ascii="Times New Roman" w:hAnsi="Times New Roman" w:cs="Times New Roman"/>
          <w:sz w:val="24"/>
          <w:szCs w:val="24"/>
        </w:rPr>
        <w:t>, </w:t>
      </w:r>
      <w:r w:rsidRPr="009A6051">
        <w:rPr>
          <w:rFonts w:ascii="Times New Roman" w:hAnsi="Times New Roman" w:cs="Times New Roman"/>
          <w:i/>
          <w:iCs/>
          <w:sz w:val="24"/>
          <w:szCs w:val="24"/>
        </w:rPr>
        <w:t>44</w:t>
      </w:r>
      <w:r w:rsidRPr="009A6051">
        <w:rPr>
          <w:rFonts w:ascii="Times New Roman" w:hAnsi="Times New Roman" w:cs="Times New Roman"/>
          <w:sz w:val="24"/>
          <w:szCs w:val="24"/>
        </w:rPr>
        <w:t>(1), 27-44.</w:t>
      </w:r>
    </w:p>
    <w:p w:rsidR="004E1E95" w:rsidRPr="001108D4" w:rsidRDefault="004E1E95" w:rsidP="004E1E95">
      <w:pPr>
        <w:ind w:left="720" w:hanging="720"/>
        <w:jc w:val="both"/>
        <w:rPr>
          <w:rFonts w:ascii="Times New Roman" w:hAnsi="Times New Roman" w:cs="Times New Roman"/>
          <w:sz w:val="24"/>
          <w:szCs w:val="24"/>
        </w:rPr>
      </w:pPr>
      <w:r w:rsidRPr="001108D4">
        <w:rPr>
          <w:rFonts w:ascii="Times New Roman" w:hAnsi="Times New Roman" w:cs="Times New Roman"/>
          <w:sz w:val="24"/>
          <w:szCs w:val="24"/>
        </w:rPr>
        <w:t>Gregory, A., Tharyan, R., &amp;Christidis, A. (2013). Constructing and testing alternative versions of the Fama–French and Carhart models in the UK. </w:t>
      </w:r>
      <w:r w:rsidRPr="001108D4">
        <w:rPr>
          <w:rFonts w:ascii="Times New Roman" w:hAnsi="Times New Roman" w:cs="Times New Roman"/>
          <w:i/>
          <w:iCs/>
          <w:sz w:val="24"/>
          <w:szCs w:val="24"/>
        </w:rPr>
        <w:t>Journal of Business Finance &amp; Accounting</w:t>
      </w:r>
      <w:r w:rsidRPr="001108D4">
        <w:rPr>
          <w:rFonts w:ascii="Times New Roman" w:hAnsi="Times New Roman" w:cs="Times New Roman"/>
          <w:sz w:val="24"/>
          <w:szCs w:val="24"/>
        </w:rPr>
        <w:t>, </w:t>
      </w:r>
      <w:r w:rsidRPr="001108D4">
        <w:rPr>
          <w:rFonts w:ascii="Times New Roman" w:hAnsi="Times New Roman" w:cs="Times New Roman"/>
          <w:i/>
          <w:iCs/>
          <w:sz w:val="24"/>
          <w:szCs w:val="24"/>
        </w:rPr>
        <w:t>40</w:t>
      </w:r>
      <w:r w:rsidRPr="001108D4">
        <w:rPr>
          <w:rFonts w:ascii="Times New Roman" w:hAnsi="Times New Roman" w:cs="Times New Roman"/>
          <w:sz w:val="24"/>
          <w:szCs w:val="24"/>
        </w:rPr>
        <w:t>(1-2), 172-214.</w:t>
      </w:r>
    </w:p>
    <w:p w:rsidR="004E1E95" w:rsidRPr="001108D4" w:rsidRDefault="004E1E95" w:rsidP="004E1E95">
      <w:pPr>
        <w:ind w:left="720" w:hanging="720"/>
        <w:jc w:val="both"/>
        <w:rPr>
          <w:rFonts w:ascii="Times New Roman" w:hAnsi="Times New Roman" w:cs="Times New Roman"/>
          <w:sz w:val="24"/>
          <w:szCs w:val="24"/>
        </w:rPr>
      </w:pPr>
      <w:r w:rsidRPr="001108D4">
        <w:rPr>
          <w:rFonts w:ascii="Times New Roman" w:hAnsi="Times New Roman" w:cs="Times New Roman"/>
          <w:sz w:val="24"/>
          <w:szCs w:val="24"/>
        </w:rPr>
        <w:t xml:space="preserve">Gulen, H., &amp; Mayhew, S. (2000). Stock index futures trading and volatility in international equity markets. </w:t>
      </w:r>
      <w:r w:rsidRPr="001108D4">
        <w:rPr>
          <w:rFonts w:ascii="Times New Roman" w:hAnsi="Times New Roman" w:cs="Times New Roman"/>
          <w:i/>
          <w:sz w:val="24"/>
          <w:szCs w:val="24"/>
        </w:rPr>
        <w:t>Journal of Futures Market</w:t>
      </w:r>
      <w:r w:rsidRPr="001108D4">
        <w:rPr>
          <w:rFonts w:ascii="Times New Roman" w:hAnsi="Times New Roman" w:cs="Times New Roman"/>
          <w:sz w:val="24"/>
          <w:szCs w:val="24"/>
        </w:rPr>
        <w:t>, 20 (7), 661-685.</w:t>
      </w:r>
    </w:p>
    <w:p w:rsidR="004E1E95" w:rsidRPr="001108D4" w:rsidRDefault="004E1E95" w:rsidP="004E1E95">
      <w:pPr>
        <w:ind w:left="720" w:hanging="720"/>
        <w:jc w:val="both"/>
        <w:rPr>
          <w:rFonts w:ascii="Times New Roman" w:hAnsi="Times New Roman" w:cs="Times New Roman"/>
          <w:sz w:val="24"/>
          <w:szCs w:val="24"/>
        </w:rPr>
      </w:pPr>
      <w:r w:rsidRPr="001108D4">
        <w:rPr>
          <w:rFonts w:ascii="Times New Roman" w:hAnsi="Times New Roman" w:cs="Times New Roman"/>
          <w:sz w:val="24"/>
          <w:szCs w:val="24"/>
          <w:shd w:val="clear" w:color="auto" w:fill="FFFFFF"/>
        </w:rPr>
        <w:t>Gupta, O. P. (2002). Effect of introduction of index futures on stock market volatility: The Indian evidence. In </w:t>
      </w:r>
      <w:r w:rsidRPr="001108D4">
        <w:rPr>
          <w:rFonts w:ascii="Times New Roman" w:hAnsi="Times New Roman" w:cs="Times New Roman"/>
          <w:i/>
          <w:iCs/>
          <w:sz w:val="24"/>
          <w:szCs w:val="24"/>
          <w:shd w:val="clear" w:color="auto" w:fill="FFFFFF"/>
        </w:rPr>
        <w:t>Sixth Capital Market Conference, UTI Capital Market, Mumbai</w:t>
      </w:r>
      <w:r w:rsidRPr="001108D4">
        <w:rPr>
          <w:rFonts w:ascii="Times New Roman" w:hAnsi="Times New Roman" w:cs="Times New Roman"/>
          <w:sz w:val="24"/>
          <w:szCs w:val="24"/>
          <w:shd w:val="clear" w:color="auto" w:fill="FFFFFF"/>
        </w:rPr>
        <w:t>.</w:t>
      </w:r>
    </w:p>
    <w:p w:rsidR="004E1E95" w:rsidRDefault="004E1E95" w:rsidP="004E1E95">
      <w:pPr>
        <w:ind w:left="720" w:hanging="720"/>
        <w:jc w:val="both"/>
        <w:rPr>
          <w:rFonts w:ascii="Times New Roman" w:hAnsi="Times New Roman" w:cs="Times New Roman"/>
          <w:sz w:val="24"/>
          <w:szCs w:val="24"/>
        </w:rPr>
      </w:pPr>
      <w:r w:rsidRPr="001108D4">
        <w:rPr>
          <w:rFonts w:ascii="Times New Roman" w:hAnsi="Times New Roman" w:cs="Times New Roman"/>
          <w:sz w:val="24"/>
          <w:szCs w:val="24"/>
        </w:rPr>
        <w:t xml:space="preserve">Harris, L. (1989). S&amp;P 500 cash stock price volatilities. </w:t>
      </w:r>
      <w:r w:rsidRPr="001108D4">
        <w:rPr>
          <w:rFonts w:ascii="Times New Roman" w:hAnsi="Times New Roman" w:cs="Times New Roman"/>
          <w:i/>
          <w:sz w:val="24"/>
          <w:szCs w:val="24"/>
        </w:rPr>
        <w:t>The Journal of Finance</w:t>
      </w:r>
      <w:r w:rsidRPr="001108D4">
        <w:rPr>
          <w:rFonts w:ascii="Times New Roman" w:hAnsi="Times New Roman" w:cs="Times New Roman"/>
          <w:sz w:val="24"/>
          <w:szCs w:val="24"/>
        </w:rPr>
        <w:t>, 44(5), 1155-1175.</w:t>
      </w:r>
    </w:p>
    <w:p w:rsidR="007C5231" w:rsidRPr="001108D4" w:rsidRDefault="007C5231" w:rsidP="004E1E95">
      <w:pPr>
        <w:ind w:left="720" w:hanging="720"/>
        <w:jc w:val="both"/>
        <w:rPr>
          <w:rFonts w:ascii="Times New Roman" w:hAnsi="Times New Roman" w:cs="Times New Roman"/>
          <w:sz w:val="24"/>
          <w:szCs w:val="24"/>
        </w:rPr>
      </w:pPr>
      <w:r w:rsidRPr="007C5231">
        <w:rPr>
          <w:rFonts w:ascii="Times New Roman" w:hAnsi="Times New Roman" w:cs="Times New Roman"/>
          <w:sz w:val="24"/>
          <w:szCs w:val="24"/>
        </w:rPr>
        <w:t xml:space="preserve">Hayashi, F., </w:t>
      </w:r>
      <w:r>
        <w:rPr>
          <w:rFonts w:ascii="Times New Roman" w:hAnsi="Times New Roman" w:cs="Times New Roman"/>
          <w:sz w:val="24"/>
          <w:szCs w:val="24"/>
        </w:rPr>
        <w:t>(</w:t>
      </w:r>
      <w:r w:rsidRPr="007C5231">
        <w:rPr>
          <w:rFonts w:ascii="Times New Roman" w:hAnsi="Times New Roman" w:cs="Times New Roman"/>
          <w:sz w:val="24"/>
          <w:szCs w:val="24"/>
        </w:rPr>
        <w:t>2000</w:t>
      </w:r>
      <w:r>
        <w:rPr>
          <w:rFonts w:ascii="Times New Roman" w:hAnsi="Times New Roman" w:cs="Times New Roman"/>
          <w:sz w:val="24"/>
          <w:szCs w:val="24"/>
        </w:rPr>
        <w:t>).</w:t>
      </w:r>
      <w:r w:rsidRPr="007C5231">
        <w:rPr>
          <w:rFonts w:ascii="Times New Roman" w:hAnsi="Times New Roman" w:cs="Times New Roman"/>
          <w:sz w:val="24"/>
          <w:szCs w:val="24"/>
        </w:rPr>
        <w:t xml:space="preserve"> Econometrics. Princeton University Press, Princeton</w:t>
      </w:r>
    </w:p>
    <w:p w:rsidR="004E1E95" w:rsidRPr="001108D4" w:rsidRDefault="004E1E95" w:rsidP="004E1E95">
      <w:pPr>
        <w:ind w:left="720" w:hanging="720"/>
        <w:jc w:val="both"/>
        <w:rPr>
          <w:rFonts w:ascii="Times New Roman" w:hAnsi="Times New Roman" w:cs="Times New Roman"/>
          <w:sz w:val="24"/>
          <w:szCs w:val="24"/>
        </w:rPr>
      </w:pPr>
      <w:r w:rsidRPr="001108D4">
        <w:rPr>
          <w:rFonts w:ascii="Times New Roman" w:hAnsi="Times New Roman" w:cs="Times New Roman"/>
          <w:sz w:val="24"/>
          <w:szCs w:val="24"/>
        </w:rPr>
        <w:t>Illueca, M., &amp;Lafuente, J. (2003). The effect of spot and futures trading on stock index market volatility: A nonparametric approach. </w:t>
      </w:r>
      <w:r w:rsidRPr="001108D4">
        <w:rPr>
          <w:rFonts w:ascii="Times New Roman" w:hAnsi="Times New Roman" w:cs="Times New Roman"/>
          <w:i/>
          <w:iCs/>
          <w:sz w:val="24"/>
          <w:szCs w:val="24"/>
        </w:rPr>
        <w:t>Journal of Futures Markets</w:t>
      </w:r>
      <w:r w:rsidRPr="001108D4">
        <w:rPr>
          <w:rFonts w:ascii="Times New Roman" w:hAnsi="Times New Roman" w:cs="Times New Roman"/>
          <w:sz w:val="24"/>
          <w:szCs w:val="24"/>
        </w:rPr>
        <w:t>, </w:t>
      </w:r>
      <w:r w:rsidRPr="001108D4">
        <w:rPr>
          <w:rFonts w:ascii="Times New Roman" w:hAnsi="Times New Roman" w:cs="Times New Roman"/>
          <w:i/>
          <w:iCs/>
          <w:sz w:val="24"/>
          <w:szCs w:val="24"/>
        </w:rPr>
        <w:t>23</w:t>
      </w:r>
      <w:r w:rsidRPr="001108D4">
        <w:rPr>
          <w:rFonts w:ascii="Times New Roman" w:hAnsi="Times New Roman" w:cs="Times New Roman"/>
          <w:sz w:val="24"/>
          <w:szCs w:val="24"/>
        </w:rPr>
        <w:t>(9), 841-858.</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Irwin, S. H., &amp; Wade Brorsen, B. (1985). Public futures funds. </w:t>
      </w:r>
      <w:r w:rsidRPr="001108D4">
        <w:rPr>
          <w:rFonts w:ascii="Times New Roman" w:hAnsi="Times New Roman" w:cs="Times New Roman"/>
          <w:i/>
          <w:iCs/>
          <w:sz w:val="24"/>
          <w:szCs w:val="24"/>
          <w:shd w:val="clear" w:color="auto" w:fill="FFFFFF"/>
        </w:rPr>
        <w:t>Journal of Futures Markets</w:t>
      </w:r>
      <w:r w:rsidRPr="001108D4">
        <w:rPr>
          <w:rFonts w:ascii="Times New Roman" w:hAnsi="Times New Roman" w:cs="Times New Roman"/>
          <w:sz w:val="24"/>
          <w:szCs w:val="24"/>
          <w:shd w:val="clear" w:color="auto" w:fill="FFFFFF"/>
        </w:rPr>
        <w:t>, </w:t>
      </w:r>
      <w:r w:rsidRPr="001108D4">
        <w:rPr>
          <w:rFonts w:ascii="Times New Roman" w:hAnsi="Times New Roman" w:cs="Times New Roman"/>
          <w:iCs/>
          <w:sz w:val="24"/>
          <w:szCs w:val="24"/>
          <w:shd w:val="clear" w:color="auto" w:fill="FFFFFF"/>
        </w:rPr>
        <w:t>5</w:t>
      </w:r>
      <w:r w:rsidRPr="001108D4">
        <w:rPr>
          <w:rFonts w:ascii="Times New Roman" w:hAnsi="Times New Roman" w:cs="Times New Roman"/>
          <w:sz w:val="24"/>
          <w:szCs w:val="24"/>
          <w:shd w:val="clear" w:color="auto" w:fill="FFFFFF"/>
        </w:rPr>
        <w:t>(2), 149-171.</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lastRenderedPageBreak/>
        <w:t>Jagannathan, R., &amp; Ma, T. (2003). Risk reduction in large portfolios: Why imposing the wrong constraints helps. </w:t>
      </w:r>
      <w:r w:rsidRPr="001108D4">
        <w:rPr>
          <w:rFonts w:ascii="Times New Roman" w:hAnsi="Times New Roman" w:cs="Times New Roman"/>
          <w:i/>
          <w:iCs/>
          <w:sz w:val="24"/>
          <w:szCs w:val="24"/>
          <w:shd w:val="clear" w:color="auto" w:fill="FFFFFF"/>
        </w:rPr>
        <w:t>The Journal of Finance</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58</w:t>
      </w:r>
      <w:r w:rsidRPr="001108D4">
        <w:rPr>
          <w:rFonts w:ascii="Times New Roman" w:hAnsi="Times New Roman" w:cs="Times New Roman"/>
          <w:sz w:val="24"/>
          <w:szCs w:val="24"/>
          <w:shd w:val="clear" w:color="auto" w:fill="FFFFFF"/>
        </w:rPr>
        <w:t>(4), 1651-1683.</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Jensen, G. R., Johnson, R. R., &amp; Mercer, J. M. (1997). New evidence on size and price-to-book effects in stock returns. Financial Analysts Journal, 53(6), 34-42.</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Jochum, C., &amp;Kodres, L. (1998). Does the introduction of futures on emerging market currencies destabilize the underlying currencies?. </w:t>
      </w:r>
      <w:r w:rsidRPr="001108D4">
        <w:rPr>
          <w:rFonts w:ascii="Times New Roman" w:hAnsi="Times New Roman" w:cs="Times New Roman"/>
          <w:i/>
          <w:iCs/>
          <w:sz w:val="24"/>
          <w:szCs w:val="24"/>
          <w:shd w:val="clear" w:color="auto" w:fill="FFFFFF"/>
        </w:rPr>
        <w:t>Staff Papers</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45</w:t>
      </w:r>
      <w:r w:rsidRPr="001108D4">
        <w:rPr>
          <w:rFonts w:ascii="Times New Roman" w:hAnsi="Times New Roman" w:cs="Times New Roman"/>
          <w:sz w:val="24"/>
          <w:szCs w:val="24"/>
          <w:shd w:val="clear" w:color="auto" w:fill="FFFFFF"/>
        </w:rPr>
        <w:t>(3), 486-521.</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Khan, S. U., &amp; Hijazi, S. T. (2009). Single stock futures trading and stock price volatility: Empirical analysis. </w:t>
      </w:r>
      <w:r w:rsidRPr="001108D4">
        <w:rPr>
          <w:rFonts w:ascii="Times New Roman" w:hAnsi="Times New Roman" w:cs="Times New Roman"/>
          <w:i/>
          <w:iCs/>
          <w:sz w:val="24"/>
          <w:szCs w:val="24"/>
          <w:shd w:val="clear" w:color="auto" w:fill="FFFFFF"/>
        </w:rPr>
        <w:t>The Pakistan Development Review</w:t>
      </w:r>
      <w:r w:rsidRPr="001108D4">
        <w:rPr>
          <w:rFonts w:ascii="Times New Roman" w:hAnsi="Times New Roman" w:cs="Times New Roman"/>
          <w:sz w:val="24"/>
          <w:szCs w:val="24"/>
          <w:shd w:val="clear" w:color="auto" w:fill="FFFFFF"/>
        </w:rPr>
        <w:t>, 553-563.</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 xml:space="preserve">Khan, S., Shah, A., &amp; Abbas, Z. (2011). Impact of single stock futures trading on stock price volatility of underlying stocks: Empirical evidence from Pakistan’s stock market. </w:t>
      </w:r>
      <w:r w:rsidRPr="001108D4">
        <w:rPr>
          <w:rFonts w:ascii="Times New Roman" w:hAnsi="Times New Roman" w:cs="Times New Roman"/>
          <w:i/>
          <w:sz w:val="24"/>
          <w:szCs w:val="24"/>
          <w:shd w:val="clear" w:color="auto" w:fill="FFFFFF"/>
        </w:rPr>
        <w:t>Journal of Basic and Applied Scientific Research</w:t>
      </w:r>
      <w:r w:rsidRPr="001108D4">
        <w:rPr>
          <w:rFonts w:ascii="Times New Roman" w:hAnsi="Times New Roman" w:cs="Times New Roman"/>
          <w:sz w:val="24"/>
          <w:szCs w:val="24"/>
          <w:shd w:val="clear" w:color="auto" w:fill="FFFFFF"/>
        </w:rPr>
        <w:t>, 1 (11), 2000–08.</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Khan, S. U., &amp; Abbas, Z. (2013). Does Equity Derivatives Trading Affect the Systematic Risk of the Underlying Stocks in an Emerging Market: Evidence from Pakistan's Futures Market. </w:t>
      </w:r>
      <w:r w:rsidRPr="001108D4">
        <w:rPr>
          <w:rFonts w:ascii="Times New Roman" w:hAnsi="Times New Roman" w:cs="Times New Roman"/>
          <w:i/>
          <w:iCs/>
          <w:sz w:val="24"/>
          <w:szCs w:val="24"/>
          <w:shd w:val="clear" w:color="auto" w:fill="FFFFFF"/>
        </w:rPr>
        <w:t>The Lahore Journal of Economics</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18</w:t>
      </w:r>
      <w:r w:rsidRPr="001108D4">
        <w:rPr>
          <w:rFonts w:ascii="Times New Roman" w:hAnsi="Times New Roman" w:cs="Times New Roman"/>
          <w:sz w:val="24"/>
          <w:szCs w:val="24"/>
          <w:shd w:val="clear" w:color="auto" w:fill="FFFFFF"/>
        </w:rPr>
        <w:t>(1), 63.</w:t>
      </w:r>
    </w:p>
    <w:p w:rsidR="004E1E95"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Lee, S. B., &amp;Ohk, K. Y. (1992). Stock index futures listing and structural change in time‐varying volatility. </w:t>
      </w:r>
      <w:r w:rsidRPr="001108D4">
        <w:rPr>
          <w:rFonts w:ascii="Times New Roman" w:hAnsi="Times New Roman" w:cs="Times New Roman"/>
          <w:i/>
          <w:iCs/>
          <w:sz w:val="24"/>
          <w:szCs w:val="24"/>
          <w:shd w:val="clear" w:color="auto" w:fill="FFFFFF"/>
        </w:rPr>
        <w:t>Journal of Futures Markets</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12</w:t>
      </w:r>
      <w:r w:rsidRPr="001108D4">
        <w:rPr>
          <w:rFonts w:ascii="Times New Roman" w:hAnsi="Times New Roman" w:cs="Times New Roman"/>
          <w:sz w:val="24"/>
          <w:szCs w:val="24"/>
          <w:shd w:val="clear" w:color="auto" w:fill="FFFFFF"/>
        </w:rPr>
        <w:t>(5), 493-509.</w:t>
      </w:r>
    </w:p>
    <w:p w:rsidR="00FE2EF8" w:rsidRPr="001108D4" w:rsidRDefault="00FE2EF8" w:rsidP="004E1E95">
      <w:pPr>
        <w:ind w:left="720" w:hanging="720"/>
        <w:jc w:val="both"/>
        <w:rPr>
          <w:rFonts w:ascii="Times New Roman" w:hAnsi="Times New Roman" w:cs="Times New Roman"/>
          <w:sz w:val="24"/>
          <w:szCs w:val="24"/>
          <w:shd w:val="clear" w:color="auto" w:fill="FFFFFF"/>
        </w:rPr>
      </w:pPr>
      <w:r w:rsidRPr="00FE2EF8">
        <w:rPr>
          <w:rFonts w:ascii="Times New Roman" w:hAnsi="Times New Roman" w:cs="Times New Roman"/>
          <w:sz w:val="24"/>
          <w:szCs w:val="24"/>
          <w:shd w:val="clear" w:color="auto" w:fill="FFFFFF"/>
        </w:rPr>
        <w:t>Liu, H. C., &amp; Hung, J. C. (2010). Forecasting S&amp;P-100 stock index volatility: The role of volatility asymmetry and distributional assumption in GARCH models. </w:t>
      </w:r>
      <w:r w:rsidRPr="00FE2EF8">
        <w:rPr>
          <w:rFonts w:ascii="Times New Roman" w:hAnsi="Times New Roman" w:cs="Times New Roman"/>
          <w:i/>
          <w:iCs/>
          <w:sz w:val="24"/>
          <w:szCs w:val="24"/>
          <w:shd w:val="clear" w:color="auto" w:fill="FFFFFF"/>
        </w:rPr>
        <w:t>Expert Systems with Applications</w:t>
      </w:r>
      <w:r w:rsidRPr="00FE2EF8">
        <w:rPr>
          <w:rFonts w:ascii="Times New Roman" w:hAnsi="Times New Roman" w:cs="Times New Roman"/>
          <w:sz w:val="24"/>
          <w:szCs w:val="24"/>
          <w:shd w:val="clear" w:color="auto" w:fill="FFFFFF"/>
        </w:rPr>
        <w:t>, </w:t>
      </w:r>
      <w:r w:rsidRPr="00FE2EF8">
        <w:rPr>
          <w:rFonts w:ascii="Times New Roman" w:hAnsi="Times New Roman" w:cs="Times New Roman"/>
          <w:i/>
          <w:iCs/>
          <w:sz w:val="24"/>
          <w:szCs w:val="24"/>
          <w:shd w:val="clear" w:color="auto" w:fill="FFFFFF"/>
        </w:rPr>
        <w:t>37</w:t>
      </w:r>
      <w:r w:rsidRPr="00FE2EF8">
        <w:rPr>
          <w:rFonts w:ascii="Times New Roman" w:hAnsi="Times New Roman" w:cs="Times New Roman"/>
          <w:sz w:val="24"/>
          <w:szCs w:val="24"/>
          <w:shd w:val="clear" w:color="auto" w:fill="FFFFFF"/>
        </w:rPr>
        <w:t>(7), 4928-4934.</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Malik, I. R., &amp; Shah, A. (2017). The Impact of Single Stock Futures on Market Efficiency and Volatility: A Dynamic CAPM Approach. </w:t>
      </w:r>
      <w:r w:rsidRPr="001108D4">
        <w:rPr>
          <w:rFonts w:ascii="Times New Roman" w:hAnsi="Times New Roman" w:cs="Times New Roman"/>
          <w:i/>
          <w:iCs/>
          <w:sz w:val="24"/>
          <w:szCs w:val="24"/>
          <w:shd w:val="clear" w:color="auto" w:fill="FFFFFF"/>
        </w:rPr>
        <w:t>Emerging Markets Finance and Trade</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53</w:t>
      </w:r>
      <w:r w:rsidRPr="001108D4">
        <w:rPr>
          <w:rFonts w:ascii="Times New Roman" w:hAnsi="Times New Roman" w:cs="Times New Roman"/>
          <w:sz w:val="24"/>
          <w:szCs w:val="24"/>
          <w:shd w:val="clear" w:color="auto" w:fill="FFFFFF"/>
        </w:rPr>
        <w:t>(2), 339-356.</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Mazouz, K., &amp; Bowe, M. (2006). The volatility effect of futures trading: Evidence from LSE traded stocks listed as individual equity futures contracts on LIFFE. </w:t>
      </w:r>
      <w:r w:rsidRPr="001108D4">
        <w:rPr>
          <w:rFonts w:ascii="Times New Roman" w:hAnsi="Times New Roman" w:cs="Times New Roman"/>
          <w:i/>
          <w:iCs/>
          <w:sz w:val="24"/>
          <w:szCs w:val="24"/>
          <w:shd w:val="clear" w:color="auto" w:fill="FFFFFF"/>
        </w:rPr>
        <w:t>International Review of Financial Analysis</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15</w:t>
      </w:r>
      <w:r w:rsidRPr="001108D4">
        <w:rPr>
          <w:rFonts w:ascii="Times New Roman" w:hAnsi="Times New Roman" w:cs="Times New Roman"/>
          <w:sz w:val="24"/>
          <w:szCs w:val="24"/>
          <w:shd w:val="clear" w:color="auto" w:fill="FFFFFF"/>
        </w:rPr>
        <w:t>(1), 1-20.</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 xml:space="preserve">Moustafa, M. (2004). Testing the weak-form efficiency of the United Arab Emirates stock market. </w:t>
      </w:r>
      <w:r w:rsidRPr="001108D4">
        <w:rPr>
          <w:rFonts w:ascii="Times New Roman" w:hAnsi="Times New Roman" w:cs="Times New Roman"/>
          <w:i/>
          <w:sz w:val="24"/>
          <w:szCs w:val="24"/>
          <w:shd w:val="clear" w:color="auto" w:fill="FFFFFF"/>
        </w:rPr>
        <w:t>International Journal of Business</w:t>
      </w:r>
      <w:r w:rsidRPr="001108D4">
        <w:rPr>
          <w:rFonts w:ascii="Times New Roman" w:hAnsi="Times New Roman" w:cs="Times New Roman"/>
          <w:sz w:val="24"/>
          <w:szCs w:val="24"/>
          <w:shd w:val="clear" w:color="auto" w:fill="FFFFFF"/>
        </w:rPr>
        <w:t xml:space="preserve">, </w:t>
      </w:r>
      <w:r w:rsidRPr="001108D4">
        <w:rPr>
          <w:rFonts w:ascii="Times New Roman" w:hAnsi="Times New Roman" w:cs="Times New Roman"/>
          <w:i/>
          <w:sz w:val="24"/>
          <w:szCs w:val="24"/>
          <w:shd w:val="clear" w:color="auto" w:fill="FFFFFF"/>
        </w:rPr>
        <w:t>9(3),</w:t>
      </w:r>
      <w:r w:rsidRPr="001108D4">
        <w:rPr>
          <w:rFonts w:ascii="Times New Roman" w:hAnsi="Times New Roman" w:cs="Times New Roman"/>
          <w:sz w:val="24"/>
          <w:szCs w:val="24"/>
          <w:shd w:val="clear" w:color="auto" w:fill="FFFFFF"/>
        </w:rPr>
        <w:t xml:space="preserve"> 309-325</w:t>
      </w:r>
    </w:p>
    <w:p w:rsidR="004E1E95"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Nath, G. C. (2003). Behaviour of stock market volatility after derivatives. </w:t>
      </w:r>
      <w:r w:rsidRPr="001108D4">
        <w:rPr>
          <w:rFonts w:ascii="Times New Roman" w:hAnsi="Times New Roman" w:cs="Times New Roman"/>
          <w:i/>
          <w:iCs/>
          <w:sz w:val="24"/>
          <w:szCs w:val="24"/>
          <w:shd w:val="clear" w:color="auto" w:fill="FFFFFF"/>
        </w:rPr>
        <w:t>NSE News Letter, NSE Research Initiative, Paper</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19</w:t>
      </w:r>
      <w:r w:rsidRPr="001108D4">
        <w:rPr>
          <w:rFonts w:ascii="Times New Roman" w:hAnsi="Times New Roman" w:cs="Times New Roman"/>
          <w:sz w:val="24"/>
          <w:szCs w:val="24"/>
          <w:shd w:val="clear" w:color="auto" w:fill="FFFFFF"/>
        </w:rPr>
        <w:t>.</w:t>
      </w:r>
    </w:p>
    <w:p w:rsidR="00BD4AD9" w:rsidRPr="001108D4" w:rsidRDefault="00BD4AD9" w:rsidP="004E1E95">
      <w:pPr>
        <w:ind w:left="720" w:hanging="720"/>
        <w:jc w:val="both"/>
        <w:rPr>
          <w:rFonts w:ascii="Times New Roman" w:hAnsi="Times New Roman" w:cs="Times New Roman"/>
          <w:sz w:val="24"/>
          <w:szCs w:val="24"/>
          <w:shd w:val="clear" w:color="auto" w:fill="FFFFFF"/>
        </w:rPr>
      </w:pPr>
      <w:r w:rsidRPr="00BD4AD9">
        <w:rPr>
          <w:rFonts w:ascii="Times New Roman" w:hAnsi="Times New Roman" w:cs="Times New Roman"/>
          <w:sz w:val="24"/>
          <w:szCs w:val="24"/>
          <w:shd w:val="clear" w:color="auto" w:fill="FFFFFF"/>
        </w:rPr>
        <w:t xml:space="preserve">Naqvi, B., Mirza, N., Azeem Naqvi, W., &amp; Rizvi, S. K. A. (2017). Portfolio </w:t>
      </w:r>
      <w:r>
        <w:rPr>
          <w:rFonts w:ascii="Times New Roman" w:hAnsi="Times New Roman" w:cs="Times New Roman"/>
          <w:sz w:val="24"/>
          <w:szCs w:val="24"/>
          <w:shd w:val="clear" w:color="auto" w:fill="FFFFFF"/>
        </w:rPr>
        <w:t>optimis</w:t>
      </w:r>
      <w:r w:rsidRPr="00BD4AD9">
        <w:rPr>
          <w:rFonts w:ascii="Times New Roman" w:hAnsi="Times New Roman" w:cs="Times New Roman"/>
          <w:sz w:val="24"/>
          <w:szCs w:val="24"/>
          <w:shd w:val="clear" w:color="auto" w:fill="FFFFFF"/>
        </w:rPr>
        <w:t>ation with higher moments of risk at the Pak</w:t>
      </w:r>
      <w:r>
        <w:rPr>
          <w:rFonts w:ascii="Times New Roman" w:hAnsi="Times New Roman" w:cs="Times New Roman"/>
          <w:sz w:val="24"/>
          <w:szCs w:val="24"/>
          <w:shd w:val="clear" w:color="auto" w:fill="FFFFFF"/>
        </w:rPr>
        <w:t xml:space="preserve">istan Stock Exchange. </w:t>
      </w:r>
      <w:r w:rsidRPr="00BD4AD9">
        <w:rPr>
          <w:rFonts w:ascii="Times New Roman" w:hAnsi="Times New Roman" w:cs="Times New Roman"/>
          <w:i/>
          <w:sz w:val="24"/>
          <w:szCs w:val="24"/>
          <w:shd w:val="clear" w:color="auto" w:fill="FFFFFF"/>
        </w:rPr>
        <w:t>Economic Research-Ekonomskaistraživanja, 30(1)</w:t>
      </w:r>
      <w:r w:rsidRPr="00BD4AD9">
        <w:rPr>
          <w:rFonts w:ascii="Times New Roman" w:hAnsi="Times New Roman" w:cs="Times New Roman"/>
          <w:sz w:val="24"/>
          <w:szCs w:val="24"/>
          <w:shd w:val="clear" w:color="auto" w:fill="FFFFFF"/>
        </w:rPr>
        <w:t>, 1594-1610.</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Lockwood, L. J., &amp; Linn, S. C. (1990). An examination of stock market return volatility during overnight and intraday periods, 1964–1989. </w:t>
      </w:r>
      <w:r w:rsidRPr="001108D4">
        <w:rPr>
          <w:rFonts w:ascii="Times New Roman" w:hAnsi="Times New Roman" w:cs="Times New Roman"/>
          <w:i/>
          <w:iCs/>
          <w:sz w:val="24"/>
          <w:szCs w:val="24"/>
          <w:shd w:val="clear" w:color="auto" w:fill="FFFFFF"/>
        </w:rPr>
        <w:t>The Journal of Finance</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45</w:t>
      </w:r>
      <w:r w:rsidRPr="001108D4">
        <w:rPr>
          <w:rFonts w:ascii="Times New Roman" w:hAnsi="Times New Roman" w:cs="Times New Roman"/>
          <w:sz w:val="24"/>
          <w:szCs w:val="24"/>
          <w:shd w:val="clear" w:color="auto" w:fill="FFFFFF"/>
        </w:rPr>
        <w:t>(2), 591-601.</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 xml:space="preserve">Shastri, K., Thirumalai, R. S., &amp;Zutter, C. J. (2008). Information revelation in the futures market: Evidence from single stock futures. </w:t>
      </w:r>
      <w:r w:rsidRPr="001108D4">
        <w:rPr>
          <w:rFonts w:ascii="Times New Roman" w:hAnsi="Times New Roman" w:cs="Times New Roman"/>
          <w:i/>
          <w:sz w:val="24"/>
          <w:szCs w:val="24"/>
          <w:shd w:val="clear" w:color="auto" w:fill="FFFFFF"/>
        </w:rPr>
        <w:t>Journal of Futures Markets</w:t>
      </w:r>
      <w:r w:rsidRPr="001108D4">
        <w:rPr>
          <w:rFonts w:ascii="Times New Roman" w:hAnsi="Times New Roman" w:cs="Times New Roman"/>
          <w:sz w:val="24"/>
          <w:szCs w:val="24"/>
          <w:shd w:val="clear" w:color="auto" w:fill="FFFFFF"/>
        </w:rPr>
        <w:t>, 28(4), 335-353.</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lastRenderedPageBreak/>
        <w:t xml:space="preserve">Siddiqi, M. F., Nouman, M., Khan, S., &amp; Khan, F. (2012). Liquidity effects of single stock futures. </w:t>
      </w:r>
      <w:r w:rsidRPr="001108D4">
        <w:rPr>
          <w:rFonts w:ascii="Times New Roman" w:hAnsi="Times New Roman" w:cs="Times New Roman"/>
          <w:i/>
          <w:sz w:val="24"/>
          <w:szCs w:val="24"/>
          <w:shd w:val="clear" w:color="auto" w:fill="FFFFFF"/>
        </w:rPr>
        <w:t>American Journal of Scientific Research</w:t>
      </w:r>
      <w:r w:rsidRPr="001108D4">
        <w:rPr>
          <w:rFonts w:ascii="Times New Roman" w:hAnsi="Times New Roman" w:cs="Times New Roman"/>
          <w:sz w:val="24"/>
          <w:szCs w:val="24"/>
          <w:shd w:val="clear" w:color="auto" w:fill="FFFFFF"/>
        </w:rPr>
        <w:t>, 42 (80), 79–91</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Skinner, D. J., &amp; Sloan, R. G. (2002). Earnings surprises, growth expectations, and stock returns or don't let an earnings torpedo sink your portfolio. Review of accounting studies, 7(2-3), 289-312.</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Silvennoinen, A., &amp;Teräsvirta, T. (2009). Multivariate GARCH models. In </w:t>
      </w:r>
      <w:r w:rsidRPr="001108D4">
        <w:rPr>
          <w:rFonts w:ascii="Times New Roman" w:hAnsi="Times New Roman" w:cs="Times New Roman"/>
          <w:i/>
          <w:iCs/>
          <w:sz w:val="24"/>
          <w:szCs w:val="24"/>
          <w:shd w:val="clear" w:color="auto" w:fill="FFFFFF"/>
        </w:rPr>
        <w:t>Handbook of financial time series</w:t>
      </w:r>
      <w:r w:rsidRPr="001108D4">
        <w:rPr>
          <w:rFonts w:ascii="Times New Roman" w:hAnsi="Times New Roman" w:cs="Times New Roman"/>
          <w:sz w:val="24"/>
          <w:szCs w:val="24"/>
          <w:shd w:val="clear" w:color="auto" w:fill="FFFFFF"/>
        </w:rPr>
        <w:t> (pp. 201-229). Springer, Berlin, Heidelberg.</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Thenmozhi, M. (2002). Futures trading, information and spot price volatility of NSE-50 index futures contract. </w:t>
      </w:r>
      <w:r w:rsidRPr="001108D4">
        <w:rPr>
          <w:rFonts w:ascii="Times New Roman" w:hAnsi="Times New Roman" w:cs="Times New Roman"/>
          <w:i/>
          <w:iCs/>
          <w:sz w:val="24"/>
          <w:szCs w:val="24"/>
          <w:shd w:val="clear" w:color="auto" w:fill="FFFFFF"/>
        </w:rPr>
        <w:t>NSE Research Paper, NSE India</w:t>
      </w:r>
      <w:r w:rsidRPr="001108D4">
        <w:rPr>
          <w:rFonts w:ascii="Times New Roman" w:hAnsi="Times New Roman" w:cs="Times New Roman"/>
          <w:sz w:val="24"/>
          <w:szCs w:val="24"/>
          <w:shd w:val="clear" w:color="auto" w:fill="FFFFFF"/>
        </w:rPr>
        <w:t>.</w:t>
      </w:r>
    </w:p>
    <w:p w:rsidR="004E1E95" w:rsidRPr="001108D4" w:rsidRDefault="004E1E95" w:rsidP="004E1E95">
      <w:pPr>
        <w:ind w:left="720" w:hanging="720"/>
        <w:jc w:val="both"/>
        <w:rPr>
          <w:rFonts w:ascii="Times New Roman" w:hAnsi="Times New Roman" w:cs="Times New Roman"/>
          <w:sz w:val="24"/>
          <w:szCs w:val="24"/>
          <w:shd w:val="clear" w:color="auto" w:fill="FFFFFF"/>
        </w:rPr>
      </w:pPr>
      <w:r w:rsidRPr="001108D4">
        <w:rPr>
          <w:rFonts w:ascii="Times New Roman" w:hAnsi="Times New Roman" w:cs="Times New Roman"/>
          <w:sz w:val="24"/>
          <w:szCs w:val="24"/>
          <w:shd w:val="clear" w:color="auto" w:fill="FFFFFF"/>
        </w:rPr>
        <w:t>Zhong, M., Darrat, A. F., &amp; Otero, R. (2004). Price discovery and volatility spillovers in index futures markets: Some evidence from Mexico. </w:t>
      </w:r>
      <w:r w:rsidRPr="001108D4">
        <w:rPr>
          <w:rFonts w:ascii="Times New Roman" w:hAnsi="Times New Roman" w:cs="Times New Roman"/>
          <w:i/>
          <w:iCs/>
          <w:sz w:val="24"/>
          <w:szCs w:val="24"/>
          <w:shd w:val="clear" w:color="auto" w:fill="FFFFFF"/>
        </w:rPr>
        <w:t>Journal of Banking &amp; Finance</w:t>
      </w:r>
      <w:r w:rsidRPr="001108D4">
        <w:rPr>
          <w:rFonts w:ascii="Times New Roman" w:hAnsi="Times New Roman" w:cs="Times New Roman"/>
          <w:sz w:val="24"/>
          <w:szCs w:val="24"/>
          <w:shd w:val="clear" w:color="auto" w:fill="FFFFFF"/>
        </w:rPr>
        <w:t>, </w:t>
      </w:r>
      <w:r w:rsidRPr="001108D4">
        <w:rPr>
          <w:rFonts w:ascii="Times New Roman" w:hAnsi="Times New Roman" w:cs="Times New Roman"/>
          <w:i/>
          <w:iCs/>
          <w:sz w:val="24"/>
          <w:szCs w:val="24"/>
          <w:shd w:val="clear" w:color="auto" w:fill="FFFFFF"/>
        </w:rPr>
        <w:t>28</w:t>
      </w:r>
      <w:r w:rsidRPr="001108D4">
        <w:rPr>
          <w:rFonts w:ascii="Times New Roman" w:hAnsi="Times New Roman" w:cs="Times New Roman"/>
          <w:sz w:val="24"/>
          <w:szCs w:val="24"/>
          <w:shd w:val="clear" w:color="auto" w:fill="FFFFFF"/>
        </w:rPr>
        <w:t>(12), 3037-3054.</w:t>
      </w:r>
    </w:p>
    <w:p w:rsidR="004E1E95" w:rsidRDefault="004E1E95" w:rsidP="004E1E95">
      <w:pPr>
        <w:ind w:left="720" w:hanging="720"/>
        <w:jc w:val="both"/>
        <w:rPr>
          <w:rFonts w:ascii="Times New Roman" w:hAnsi="Times New Roman" w:cs="Times New Roman"/>
          <w:color w:val="222222"/>
          <w:sz w:val="24"/>
          <w:szCs w:val="24"/>
          <w:shd w:val="clear" w:color="auto" w:fill="FFFFFF"/>
        </w:rPr>
      </w:pPr>
    </w:p>
    <w:p w:rsidR="004E1E95" w:rsidRDefault="004E1E95" w:rsidP="004E1E95">
      <w:pPr>
        <w:ind w:left="720" w:hanging="720"/>
        <w:jc w:val="both"/>
        <w:rPr>
          <w:rFonts w:ascii="Times New Roman" w:hAnsi="Times New Roman" w:cs="Times New Roman"/>
          <w:color w:val="222222"/>
          <w:sz w:val="24"/>
          <w:szCs w:val="24"/>
          <w:shd w:val="clear" w:color="auto" w:fill="FFFFFF"/>
        </w:rPr>
      </w:pPr>
    </w:p>
    <w:p w:rsidR="004E1E95" w:rsidRDefault="004E1E95" w:rsidP="004E1E95">
      <w:pPr>
        <w:ind w:left="720" w:hanging="720"/>
        <w:jc w:val="both"/>
        <w:rPr>
          <w:rFonts w:ascii="Times New Roman" w:hAnsi="Times New Roman" w:cs="Times New Roman"/>
          <w:color w:val="222222"/>
          <w:sz w:val="24"/>
          <w:szCs w:val="24"/>
          <w:shd w:val="clear" w:color="auto" w:fill="FFFFFF"/>
        </w:rPr>
      </w:pPr>
    </w:p>
    <w:p w:rsidR="004E1E95" w:rsidRDefault="004E1E95" w:rsidP="009E25D3">
      <w:pPr>
        <w:jc w:val="both"/>
        <w:rPr>
          <w:rFonts w:ascii="Times New Roman" w:hAnsi="Times New Roman" w:cs="Times New Roman"/>
          <w:b/>
          <w:color w:val="222222"/>
          <w:sz w:val="24"/>
          <w:szCs w:val="24"/>
          <w:shd w:val="clear" w:color="auto" w:fill="FFFFFF"/>
        </w:rPr>
      </w:pPr>
    </w:p>
    <w:p w:rsidR="00040E43" w:rsidRDefault="00040E43" w:rsidP="00040E43">
      <w:pPr>
        <w:jc w:val="both"/>
        <w:rPr>
          <w:rFonts w:ascii="Times New Roman" w:hAnsi="Times New Roman" w:cs="Times New Roman"/>
          <w:b/>
          <w:color w:val="222222"/>
          <w:sz w:val="24"/>
          <w:szCs w:val="24"/>
          <w:shd w:val="clear" w:color="auto" w:fill="FFFFFF"/>
        </w:rPr>
      </w:pPr>
    </w:p>
    <w:p w:rsidR="004E1E95" w:rsidRPr="00040E43" w:rsidRDefault="004E1E95" w:rsidP="00040E43">
      <w:pPr>
        <w:pStyle w:val="Heading1"/>
        <w:spacing w:after="240"/>
        <w:jc w:val="both"/>
        <w:rPr>
          <w:rFonts w:ascii="Times New Roman" w:hAnsi="Times New Roman" w:cs="Times New Roman"/>
          <w:b/>
          <w:color w:val="auto"/>
          <w:sz w:val="28"/>
          <w:shd w:val="clear" w:color="auto" w:fill="FFFFFF"/>
        </w:rPr>
      </w:pPr>
      <w:bookmarkStart w:id="24" w:name="_Toc520219908"/>
      <w:r w:rsidRPr="00040E43">
        <w:rPr>
          <w:rFonts w:ascii="Times New Roman" w:hAnsi="Times New Roman" w:cs="Times New Roman"/>
          <w:b/>
          <w:color w:val="auto"/>
          <w:sz w:val="28"/>
          <w:shd w:val="clear" w:color="auto" w:fill="FFFFFF"/>
        </w:rPr>
        <w:t>Appendix</w:t>
      </w:r>
      <w:bookmarkEnd w:id="24"/>
    </w:p>
    <w:p w:rsidR="004E1E95" w:rsidRPr="003D3088" w:rsidRDefault="004E1E95" w:rsidP="004E1E95">
      <w:pPr>
        <w:ind w:left="720" w:hanging="720"/>
        <w:jc w:val="both"/>
        <w:rPr>
          <w:rFonts w:ascii="Times New Roman" w:hAnsi="Times New Roman" w:cs="Times New Roman"/>
          <w:b/>
          <w:color w:val="000000" w:themeColor="text1"/>
          <w:sz w:val="24"/>
          <w:szCs w:val="24"/>
          <w:shd w:val="clear" w:color="auto" w:fill="FFFFFF"/>
        </w:rPr>
      </w:pPr>
      <w:r w:rsidRPr="003D3088">
        <w:rPr>
          <w:rFonts w:ascii="Times New Roman" w:hAnsi="Times New Roman" w:cs="Times New Roman"/>
          <w:b/>
          <w:color w:val="000000" w:themeColor="text1"/>
          <w:sz w:val="24"/>
          <w:szCs w:val="24"/>
          <w:shd w:val="clear" w:color="auto" w:fill="FFFFFF"/>
        </w:rPr>
        <w:t>List of Futures traded at PSX</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 xml:space="preserve">Askari Bank Ltd. </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 xml:space="preserve">Aisha Steel Mills Ltd. </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 xml:space="preserve">Attock Refinery Ltd. </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Bank of Punjab</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 xml:space="preserve">BYCO Petroleum Pak Ltd. </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 xml:space="preserve">Cherat Cement Co. Ltd. </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D. G. Khan Cement Co. Ltd.</w:t>
      </w:r>
    </w:p>
    <w:p w:rsidR="009C5739"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DesconOxychem Ltd.</w:t>
      </w:r>
    </w:p>
    <w:p w:rsidR="009C5739" w:rsidRPr="003D3088" w:rsidRDefault="009C5739"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Dolmen City REIT</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Engro Fertilizers Limited.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Engro Foods Limited.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Engro Corporation Limited.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Engro Polymer &amp; Chemicals Ltd.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 xml:space="preserve">Fauji Cement Co. Ltd. </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 xml:space="preserve">Fauji Fertilizer Bin Qasim Ltd. </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Fauji Fertilizer Co. Ltd.</w:t>
      </w:r>
    </w:p>
    <w:p w:rsidR="00866538" w:rsidRPr="003D3088" w:rsidRDefault="00866538"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lastRenderedPageBreak/>
        <w:t>Fauji Foods Limited</w:t>
      </w:r>
    </w:p>
    <w:p w:rsidR="008F23A1" w:rsidRPr="003D3088" w:rsidRDefault="008F23A1"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Faysal Bank Limited</w:t>
      </w:r>
    </w:p>
    <w:p w:rsidR="004E1E95" w:rsidRPr="003D3088" w:rsidRDefault="004E1E95" w:rsidP="008505D7">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Habib Bank Limited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Hub Power Company Limited.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International Steels Limited.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K-Electric Limited.</w:t>
      </w:r>
    </w:p>
    <w:p w:rsidR="004E1E95" w:rsidRPr="003D3088" w:rsidRDefault="004E1E95" w:rsidP="008505D7">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 xml:space="preserve">KotAddu Power Co. Ltd. </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Lotte Chemical Pakistan Ltd.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Lucky Cement Limited.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MCB Bank Limited.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Maple Leaf Cement Factory Ltd.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Mughal Iron &amp; Steels Industries Ltd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National Bank Of Pakistan</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Nishat (Chunia) Ltd</w:t>
      </w:r>
    </w:p>
    <w:p w:rsidR="004E1E95" w:rsidRPr="003D3088" w:rsidRDefault="004E1E95" w:rsidP="008505D7">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Nishat Mills Ltd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Oil &amp; Gas Development Company Ltd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Pakistan Elektron Ltd.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 xml:space="preserve">Pakistan Intl. Bulk Terminal Ltd. </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Pioneer Cement Ltd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Power cement Limited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Pakistan Oilfields Limited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Pakistan Refinery Ltd.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 xml:space="preserve">Pakistan Telecommunication Co. </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Pakistan State Oil Co Ltd.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Pakistan Petroleum Limited.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Searle Company Ltd.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 xml:space="preserve">Shabbir Tiles and Ceramics </w:t>
      </w:r>
      <w:r w:rsidR="008505D7" w:rsidRPr="003D3088">
        <w:rPr>
          <w:rFonts w:ascii="Times New Roman" w:hAnsi="Times New Roman" w:cs="Times New Roman"/>
          <w:color w:val="000000" w:themeColor="text1"/>
          <w:szCs w:val="24"/>
        </w:rPr>
        <w:t xml:space="preserve">Ltd. </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 xml:space="preserve">Siddiqsons Tin </w:t>
      </w:r>
      <w:r w:rsidR="008505D7" w:rsidRPr="003D3088">
        <w:rPr>
          <w:rFonts w:ascii="Times New Roman" w:hAnsi="Times New Roman" w:cs="Times New Roman"/>
          <w:color w:val="000000" w:themeColor="text1"/>
          <w:szCs w:val="24"/>
        </w:rPr>
        <w:t xml:space="preserve">Plate </w:t>
      </w:r>
      <w:r w:rsidRPr="003D3088">
        <w:rPr>
          <w:rFonts w:ascii="Times New Roman" w:hAnsi="Times New Roman" w:cs="Times New Roman"/>
          <w:color w:val="000000" w:themeColor="text1"/>
          <w:szCs w:val="24"/>
        </w:rPr>
        <w:t xml:space="preserve">Ltd. </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Sui Southern Gas Co Ltd.</w:t>
      </w:r>
    </w:p>
    <w:p w:rsidR="004E1E95" w:rsidRPr="003D3088" w:rsidRDefault="004E1E95" w:rsidP="00F867AE">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Sui Northern Gas Pipe Line Ltd</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 xml:space="preserve">TRG Pakistan Ltd. </w:t>
      </w:r>
    </w:p>
    <w:p w:rsidR="004E1E95" w:rsidRPr="003D3088" w:rsidRDefault="004E1E95" w:rsidP="009C5739">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 xml:space="preserve">United Bank Ltd. </w:t>
      </w:r>
    </w:p>
    <w:p w:rsidR="008505D7" w:rsidRPr="003D3088" w:rsidRDefault="008505D7" w:rsidP="00F42903">
      <w:pPr>
        <w:pStyle w:val="ListParagraph"/>
        <w:numPr>
          <w:ilvl w:val="0"/>
          <w:numId w:val="20"/>
        </w:numPr>
        <w:pBdr>
          <w:top w:val="single" w:sz="4" w:space="1" w:color="auto"/>
          <w:left w:val="single" w:sz="4" w:space="1" w:color="auto"/>
          <w:bottom w:val="single" w:sz="4" w:space="1" w:color="auto"/>
          <w:right w:val="single" w:sz="4" w:space="1" w:color="auto"/>
          <w:between w:val="single" w:sz="4" w:space="1" w:color="auto"/>
          <w:bar w:val="single" w:sz="4" w:color="auto"/>
        </w:pBdr>
        <w:jc w:val="both"/>
        <w:rPr>
          <w:rFonts w:ascii="Times New Roman" w:hAnsi="Times New Roman" w:cs="Times New Roman"/>
          <w:color w:val="000000" w:themeColor="text1"/>
          <w:szCs w:val="24"/>
        </w:rPr>
      </w:pPr>
      <w:r w:rsidRPr="003D3088">
        <w:rPr>
          <w:rFonts w:ascii="Times New Roman" w:hAnsi="Times New Roman" w:cs="Times New Roman"/>
          <w:color w:val="000000" w:themeColor="text1"/>
          <w:szCs w:val="24"/>
        </w:rPr>
        <w:t>Unity Foods Limited</w:t>
      </w:r>
    </w:p>
    <w:p w:rsidR="004E1E95" w:rsidRPr="004E1E95" w:rsidRDefault="004E1E95" w:rsidP="004E1E95">
      <w:pPr>
        <w:spacing w:before="240"/>
      </w:pPr>
    </w:p>
    <w:p w:rsidR="00840424" w:rsidRDefault="00840424" w:rsidP="00840424">
      <w:pPr>
        <w:tabs>
          <w:tab w:val="left" w:pos="3465"/>
        </w:tabs>
        <w:spacing w:line="480" w:lineRule="auto"/>
        <w:jc w:val="both"/>
        <w:rPr>
          <w:rFonts w:ascii="Times New Roman" w:hAnsi="Times New Roman" w:cs="Times New Roman"/>
          <w:sz w:val="24"/>
        </w:rPr>
      </w:pPr>
    </w:p>
    <w:p w:rsidR="00451516" w:rsidRDefault="00451516" w:rsidP="00AA0851">
      <w:pPr>
        <w:spacing w:line="480" w:lineRule="auto"/>
        <w:jc w:val="both"/>
        <w:rPr>
          <w:rFonts w:ascii="Times New Roman" w:hAnsi="Times New Roman" w:cs="Times New Roman"/>
          <w:sz w:val="24"/>
        </w:rPr>
      </w:pPr>
    </w:p>
    <w:p w:rsidR="00D857B7" w:rsidRDefault="00D857B7" w:rsidP="00AA0851">
      <w:pPr>
        <w:spacing w:line="480" w:lineRule="auto"/>
        <w:jc w:val="both"/>
        <w:rPr>
          <w:rFonts w:ascii="Times New Roman" w:hAnsi="Times New Roman" w:cs="Times New Roman"/>
          <w:b/>
          <w:sz w:val="24"/>
        </w:rPr>
      </w:pPr>
    </w:p>
    <w:p w:rsidR="00D857B7" w:rsidRDefault="00D857B7" w:rsidP="00AA0851">
      <w:pPr>
        <w:spacing w:line="480" w:lineRule="auto"/>
        <w:jc w:val="both"/>
        <w:rPr>
          <w:rFonts w:ascii="Times New Roman" w:hAnsi="Times New Roman" w:cs="Times New Roman"/>
          <w:b/>
          <w:sz w:val="24"/>
        </w:rPr>
      </w:pPr>
    </w:p>
    <w:p w:rsidR="00D857B7" w:rsidRDefault="00D857B7" w:rsidP="00AA0851">
      <w:pPr>
        <w:spacing w:line="480" w:lineRule="auto"/>
        <w:jc w:val="both"/>
        <w:rPr>
          <w:rFonts w:ascii="Times New Roman" w:hAnsi="Times New Roman" w:cs="Times New Roman"/>
          <w:b/>
          <w:sz w:val="24"/>
        </w:rPr>
      </w:pPr>
    </w:p>
    <w:p w:rsidR="002A43D8" w:rsidRDefault="002A43D8" w:rsidP="00AA0851">
      <w:pPr>
        <w:spacing w:line="480" w:lineRule="auto"/>
        <w:jc w:val="both"/>
        <w:rPr>
          <w:rFonts w:ascii="Times New Roman" w:hAnsi="Times New Roman" w:cs="Times New Roman"/>
          <w:b/>
          <w:sz w:val="24"/>
        </w:rPr>
      </w:pPr>
    </w:p>
    <w:p w:rsidR="002A43D8" w:rsidRDefault="002A43D8" w:rsidP="00AA0851">
      <w:pPr>
        <w:spacing w:line="480" w:lineRule="auto"/>
        <w:jc w:val="both"/>
        <w:rPr>
          <w:rFonts w:ascii="Times New Roman" w:hAnsi="Times New Roman" w:cs="Times New Roman"/>
          <w:b/>
          <w:sz w:val="24"/>
        </w:rPr>
      </w:pPr>
    </w:p>
    <w:p w:rsidR="002A43D8" w:rsidRDefault="002A43D8" w:rsidP="00AA0851">
      <w:pPr>
        <w:spacing w:line="480" w:lineRule="auto"/>
        <w:jc w:val="both"/>
        <w:rPr>
          <w:rFonts w:ascii="Times New Roman" w:hAnsi="Times New Roman" w:cs="Times New Roman"/>
          <w:b/>
          <w:sz w:val="24"/>
        </w:rPr>
      </w:pPr>
    </w:p>
    <w:p w:rsidR="002A43D8" w:rsidRDefault="002A43D8" w:rsidP="00AA0851">
      <w:pPr>
        <w:spacing w:line="480" w:lineRule="auto"/>
        <w:jc w:val="both"/>
        <w:rPr>
          <w:rFonts w:ascii="Times New Roman" w:hAnsi="Times New Roman" w:cs="Times New Roman"/>
          <w:b/>
          <w:sz w:val="24"/>
        </w:rPr>
      </w:pPr>
    </w:p>
    <w:p w:rsidR="00D857B7" w:rsidRDefault="00D857B7" w:rsidP="00AA0851">
      <w:pPr>
        <w:spacing w:line="480" w:lineRule="auto"/>
        <w:jc w:val="both"/>
        <w:rPr>
          <w:rFonts w:ascii="Times New Roman" w:hAnsi="Times New Roman" w:cs="Times New Roman"/>
          <w:b/>
          <w:sz w:val="24"/>
        </w:rPr>
      </w:pPr>
    </w:p>
    <w:p w:rsidR="00BD6CF2" w:rsidRDefault="00BD6CF2" w:rsidP="00AA0851">
      <w:pPr>
        <w:spacing w:line="480" w:lineRule="auto"/>
        <w:jc w:val="both"/>
        <w:rPr>
          <w:rFonts w:ascii="Times New Roman" w:hAnsi="Times New Roman" w:cs="Times New Roman"/>
          <w:b/>
          <w:sz w:val="24"/>
        </w:rPr>
      </w:pPr>
    </w:p>
    <w:p w:rsidR="00D857B7" w:rsidRDefault="00D857B7" w:rsidP="0077444D">
      <w:pPr>
        <w:spacing w:line="240" w:lineRule="auto"/>
        <w:jc w:val="both"/>
        <w:rPr>
          <w:rFonts w:ascii="Times New Roman" w:hAnsi="Times New Roman" w:cs="Times New Roman"/>
          <w:sz w:val="24"/>
        </w:rPr>
      </w:pPr>
      <w:r>
        <w:rPr>
          <w:noProof/>
        </w:rPr>
        <w:drawing>
          <wp:inline distT="0" distB="0" distL="0" distR="0">
            <wp:extent cx="5497033" cy="2775097"/>
            <wp:effectExtent l="0" t="0" r="8890" b="63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34557" w:rsidRPr="00934557" w:rsidRDefault="00934557" w:rsidP="00934557">
      <w:pPr>
        <w:spacing w:after="0" w:line="240" w:lineRule="auto"/>
        <w:jc w:val="both"/>
        <w:rPr>
          <w:rFonts w:ascii="Times New Roman" w:hAnsi="Times New Roman" w:cs="Times New Roman"/>
          <w:b/>
          <w:sz w:val="20"/>
        </w:rPr>
      </w:pPr>
      <w:r w:rsidRPr="00934557">
        <w:rPr>
          <w:rFonts w:ascii="Times New Roman" w:hAnsi="Times New Roman" w:cs="Times New Roman"/>
          <w:b/>
          <w:sz w:val="20"/>
        </w:rPr>
        <w:t>Figure 1: Alpha Returns of Both Portfolios Using CAPM</w:t>
      </w:r>
    </w:p>
    <w:p w:rsidR="0077444D" w:rsidRDefault="008431BB" w:rsidP="007A351B">
      <w:pPr>
        <w:spacing w:after="0" w:line="240" w:lineRule="auto"/>
        <w:jc w:val="both"/>
        <w:rPr>
          <w:rFonts w:ascii="Times New Roman" w:hAnsi="Times New Roman" w:cs="Times New Roman"/>
          <w:sz w:val="20"/>
        </w:rPr>
      </w:pPr>
      <w:r w:rsidRPr="0077444D">
        <w:rPr>
          <w:rFonts w:ascii="Times New Roman" w:hAnsi="Times New Roman" w:cs="Times New Roman"/>
          <w:b/>
          <w:sz w:val="20"/>
        </w:rPr>
        <w:t xml:space="preserve">Note: </w:t>
      </w:r>
      <w:r w:rsidR="00BD6CF2" w:rsidRPr="0077444D">
        <w:rPr>
          <w:rFonts w:ascii="Times New Roman" w:hAnsi="Times New Roman" w:cs="Times New Roman"/>
          <w:sz w:val="20"/>
        </w:rPr>
        <w:t xml:space="preserve">The </w:t>
      </w:r>
      <w:r w:rsidR="0077444D" w:rsidRPr="0077444D">
        <w:rPr>
          <w:rFonts w:ascii="Times New Roman" w:hAnsi="Times New Roman" w:cs="Times New Roman"/>
          <w:sz w:val="20"/>
        </w:rPr>
        <w:t xml:space="preserve">Fig.1 </w:t>
      </w:r>
      <w:r w:rsidR="00BD6CF2" w:rsidRPr="0077444D">
        <w:rPr>
          <w:rFonts w:ascii="Times New Roman" w:hAnsi="Times New Roman" w:cs="Times New Roman"/>
          <w:sz w:val="20"/>
        </w:rPr>
        <w:t xml:space="preserve">depicts the alpha </w:t>
      </w:r>
      <w:r w:rsidR="0077444D" w:rsidRPr="0077444D">
        <w:rPr>
          <w:rFonts w:ascii="Times New Roman" w:hAnsi="Times New Roman" w:cs="Times New Roman"/>
          <w:sz w:val="20"/>
        </w:rPr>
        <w:t xml:space="preserve">returns </w:t>
      </w:r>
      <w:r w:rsidR="0077444D">
        <w:rPr>
          <w:rFonts w:ascii="Times New Roman" w:hAnsi="Times New Roman" w:cs="Times New Roman"/>
          <w:sz w:val="20"/>
        </w:rPr>
        <w:t xml:space="preserve">of the both portfolios i.e. Portfolio_FL and Portfolio_NFL as per mentioned in Table 10. This figure plots alpha returns of both portfolios to assess the trend of alpha returns over the time period of five years. </w:t>
      </w:r>
      <w:r w:rsidR="00934557">
        <w:rPr>
          <w:rFonts w:ascii="Times New Roman" w:hAnsi="Times New Roman" w:cs="Times New Roman"/>
          <w:sz w:val="20"/>
        </w:rPr>
        <w:t xml:space="preserve">Also, the upper and lower bounds are shown for both portfolios. This visual representation facilitates in assessing whether futures trading provides high or low alpha returns. Fig 1 corresponds to Table 10. </w:t>
      </w:r>
    </w:p>
    <w:p w:rsidR="007A351B" w:rsidRDefault="007A351B" w:rsidP="007A351B">
      <w:pPr>
        <w:spacing w:after="0" w:line="240" w:lineRule="auto"/>
        <w:jc w:val="both"/>
        <w:rPr>
          <w:rFonts w:ascii="Times New Roman" w:hAnsi="Times New Roman" w:cs="Times New Roman"/>
          <w:sz w:val="20"/>
        </w:rPr>
      </w:pPr>
    </w:p>
    <w:p w:rsidR="007A351B" w:rsidRDefault="007A351B" w:rsidP="007A351B">
      <w:pPr>
        <w:spacing w:after="0" w:line="240" w:lineRule="auto"/>
        <w:jc w:val="both"/>
        <w:rPr>
          <w:rFonts w:ascii="Times New Roman" w:hAnsi="Times New Roman" w:cs="Times New Roman"/>
          <w:sz w:val="20"/>
        </w:rPr>
      </w:pPr>
    </w:p>
    <w:p w:rsidR="007A351B" w:rsidRDefault="007A351B" w:rsidP="007A351B">
      <w:pPr>
        <w:spacing w:after="0" w:line="240" w:lineRule="auto"/>
        <w:jc w:val="both"/>
        <w:rPr>
          <w:rFonts w:ascii="Times New Roman" w:hAnsi="Times New Roman" w:cs="Times New Roman"/>
          <w:sz w:val="20"/>
        </w:rPr>
      </w:pPr>
    </w:p>
    <w:p w:rsidR="007A351B" w:rsidRPr="008431BB" w:rsidRDefault="007A351B" w:rsidP="007A351B">
      <w:pPr>
        <w:spacing w:after="0" w:line="240" w:lineRule="auto"/>
        <w:jc w:val="both"/>
        <w:rPr>
          <w:rFonts w:ascii="Times New Roman" w:hAnsi="Times New Roman" w:cs="Times New Roman"/>
          <w:sz w:val="24"/>
        </w:rPr>
      </w:pPr>
    </w:p>
    <w:p w:rsidR="003B3494" w:rsidRDefault="00D857B7" w:rsidP="002A5155">
      <w:pPr>
        <w:spacing w:after="0" w:line="480" w:lineRule="auto"/>
        <w:jc w:val="both"/>
        <w:rPr>
          <w:rFonts w:ascii="Times New Roman" w:hAnsi="Times New Roman" w:cs="Times New Roman"/>
          <w:sz w:val="24"/>
        </w:rPr>
      </w:pPr>
      <w:r>
        <w:rPr>
          <w:noProof/>
        </w:rPr>
        <w:drawing>
          <wp:inline distT="0" distB="0" distL="0" distR="0">
            <wp:extent cx="5528310" cy="2838450"/>
            <wp:effectExtent l="0" t="0" r="1524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A5155" w:rsidRPr="00934557" w:rsidRDefault="002A5155" w:rsidP="002A5155">
      <w:pPr>
        <w:spacing w:after="0" w:line="240" w:lineRule="auto"/>
        <w:jc w:val="both"/>
        <w:rPr>
          <w:rFonts w:ascii="Times New Roman" w:hAnsi="Times New Roman" w:cs="Times New Roman"/>
          <w:b/>
          <w:sz w:val="20"/>
        </w:rPr>
      </w:pPr>
      <w:r>
        <w:rPr>
          <w:rFonts w:ascii="Times New Roman" w:hAnsi="Times New Roman" w:cs="Times New Roman"/>
          <w:b/>
          <w:sz w:val="20"/>
        </w:rPr>
        <w:t>Figure 2</w:t>
      </w:r>
      <w:r w:rsidRPr="00934557">
        <w:rPr>
          <w:rFonts w:ascii="Times New Roman" w:hAnsi="Times New Roman" w:cs="Times New Roman"/>
          <w:b/>
          <w:sz w:val="20"/>
        </w:rPr>
        <w:t xml:space="preserve">: </w:t>
      </w:r>
      <w:r w:rsidR="007A351B" w:rsidRPr="007A351B">
        <w:rPr>
          <w:rFonts w:ascii="Times New Roman" w:hAnsi="Times New Roman" w:cs="Times New Roman"/>
          <w:b/>
          <w:sz w:val="20"/>
        </w:rPr>
        <w:t>Market Risk of Both Portfolios Using CAPM</w:t>
      </w:r>
    </w:p>
    <w:p w:rsidR="002A5155" w:rsidRPr="0077444D" w:rsidRDefault="002A5155" w:rsidP="002A5155">
      <w:pPr>
        <w:spacing w:after="0" w:line="240" w:lineRule="auto"/>
        <w:jc w:val="both"/>
        <w:rPr>
          <w:rFonts w:ascii="Times New Roman" w:hAnsi="Times New Roman" w:cs="Times New Roman"/>
          <w:sz w:val="20"/>
        </w:rPr>
      </w:pPr>
      <w:r w:rsidRPr="0077444D">
        <w:rPr>
          <w:rFonts w:ascii="Times New Roman" w:hAnsi="Times New Roman" w:cs="Times New Roman"/>
          <w:b/>
          <w:sz w:val="20"/>
        </w:rPr>
        <w:t xml:space="preserve">Note: </w:t>
      </w:r>
      <w:r w:rsidRPr="0077444D">
        <w:rPr>
          <w:rFonts w:ascii="Times New Roman" w:hAnsi="Times New Roman" w:cs="Times New Roman"/>
          <w:sz w:val="20"/>
        </w:rPr>
        <w:t xml:space="preserve">The </w:t>
      </w:r>
      <w:r w:rsidR="007A351B">
        <w:rPr>
          <w:rFonts w:ascii="Times New Roman" w:hAnsi="Times New Roman" w:cs="Times New Roman"/>
          <w:sz w:val="20"/>
        </w:rPr>
        <w:t>Fig.2depicts the market risk</w:t>
      </w:r>
      <w:r>
        <w:rPr>
          <w:rFonts w:ascii="Times New Roman" w:hAnsi="Times New Roman" w:cs="Times New Roman"/>
          <w:sz w:val="20"/>
        </w:rPr>
        <w:t xml:space="preserve">of the both portfolios i.e. Portfolio_FL and Portfolio_NFL as per mentioned in Table 10. This figure plots </w:t>
      </w:r>
      <w:r w:rsidR="007A351B">
        <w:rPr>
          <w:rFonts w:ascii="Times New Roman" w:hAnsi="Times New Roman" w:cs="Times New Roman"/>
          <w:sz w:val="20"/>
        </w:rPr>
        <w:t xml:space="preserve">risk </w:t>
      </w:r>
      <w:r>
        <w:rPr>
          <w:rFonts w:ascii="Times New Roman" w:hAnsi="Times New Roman" w:cs="Times New Roman"/>
          <w:sz w:val="20"/>
        </w:rPr>
        <w:t xml:space="preserve">of both portfolios to assess the trend of </w:t>
      </w:r>
      <w:r w:rsidR="007A351B">
        <w:rPr>
          <w:rFonts w:ascii="Times New Roman" w:hAnsi="Times New Roman" w:cs="Times New Roman"/>
          <w:sz w:val="20"/>
        </w:rPr>
        <w:t xml:space="preserve">market risk </w:t>
      </w:r>
      <w:r>
        <w:rPr>
          <w:rFonts w:ascii="Times New Roman" w:hAnsi="Times New Roman" w:cs="Times New Roman"/>
          <w:sz w:val="20"/>
        </w:rPr>
        <w:t>over the time period of five years. Also, the upper and lower bounds are shown for both portfolios. This visual representation facilitates in assessing whether futures trading</w:t>
      </w:r>
      <w:r w:rsidR="007A351B">
        <w:rPr>
          <w:rFonts w:ascii="Times New Roman" w:hAnsi="Times New Roman" w:cs="Times New Roman"/>
          <w:sz w:val="20"/>
        </w:rPr>
        <w:t xml:space="preserve"> has high market risk or low market risk. Fig 2</w:t>
      </w:r>
      <w:r>
        <w:rPr>
          <w:rFonts w:ascii="Times New Roman" w:hAnsi="Times New Roman" w:cs="Times New Roman"/>
          <w:sz w:val="20"/>
        </w:rPr>
        <w:t xml:space="preserve"> corresponds to Table 10. </w:t>
      </w:r>
    </w:p>
    <w:p w:rsidR="003B3494" w:rsidRDefault="003B3494" w:rsidP="002A5155">
      <w:pPr>
        <w:spacing w:after="0" w:line="480" w:lineRule="auto"/>
        <w:jc w:val="both"/>
        <w:rPr>
          <w:rFonts w:ascii="Times New Roman" w:hAnsi="Times New Roman" w:cs="Times New Roman"/>
          <w:sz w:val="24"/>
        </w:rPr>
      </w:pPr>
    </w:p>
    <w:p w:rsidR="00AA0851" w:rsidRDefault="007005EB" w:rsidP="00934790">
      <w:pPr>
        <w:spacing w:after="0" w:line="480" w:lineRule="auto"/>
        <w:jc w:val="both"/>
        <w:rPr>
          <w:rFonts w:ascii="Times New Roman" w:hAnsi="Times New Roman" w:cs="Times New Roman"/>
          <w:sz w:val="24"/>
        </w:rPr>
      </w:pPr>
      <w:r>
        <w:rPr>
          <w:noProof/>
        </w:rPr>
        <w:drawing>
          <wp:inline distT="0" distB="0" distL="0" distR="0">
            <wp:extent cx="5395913" cy="3028950"/>
            <wp:effectExtent l="0" t="0" r="1460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34790" w:rsidRPr="00934790" w:rsidRDefault="00934790" w:rsidP="00934790">
      <w:pPr>
        <w:spacing w:after="0" w:line="240" w:lineRule="auto"/>
        <w:jc w:val="both"/>
        <w:rPr>
          <w:rFonts w:ascii="Times New Roman" w:hAnsi="Times New Roman" w:cs="Times New Roman"/>
          <w:b/>
          <w:sz w:val="20"/>
        </w:rPr>
      </w:pPr>
      <w:r w:rsidRPr="00934790">
        <w:rPr>
          <w:rFonts w:ascii="Times New Roman" w:hAnsi="Times New Roman" w:cs="Times New Roman"/>
          <w:b/>
          <w:sz w:val="20"/>
        </w:rPr>
        <w:t>Figure 3: Alpha Returns o</w:t>
      </w:r>
      <w:r>
        <w:rPr>
          <w:rFonts w:ascii="Times New Roman" w:hAnsi="Times New Roman" w:cs="Times New Roman"/>
          <w:b/>
          <w:sz w:val="20"/>
        </w:rPr>
        <w:t>f Both Portfolios using Multi-</w:t>
      </w:r>
      <w:r w:rsidRPr="00934790">
        <w:rPr>
          <w:rFonts w:ascii="Times New Roman" w:hAnsi="Times New Roman" w:cs="Times New Roman"/>
          <w:b/>
          <w:sz w:val="20"/>
        </w:rPr>
        <w:t>Factor Model</w:t>
      </w:r>
    </w:p>
    <w:p w:rsidR="00934790" w:rsidRDefault="00934790" w:rsidP="00934790">
      <w:pPr>
        <w:spacing w:after="0" w:line="240" w:lineRule="auto"/>
        <w:jc w:val="both"/>
        <w:rPr>
          <w:rFonts w:ascii="Times New Roman" w:hAnsi="Times New Roman" w:cs="Times New Roman"/>
          <w:sz w:val="20"/>
        </w:rPr>
      </w:pPr>
      <w:r w:rsidRPr="0077444D">
        <w:rPr>
          <w:rFonts w:ascii="Times New Roman" w:hAnsi="Times New Roman" w:cs="Times New Roman"/>
          <w:b/>
          <w:sz w:val="20"/>
        </w:rPr>
        <w:t xml:space="preserve">Note: </w:t>
      </w:r>
      <w:r w:rsidRPr="0077444D">
        <w:rPr>
          <w:rFonts w:ascii="Times New Roman" w:hAnsi="Times New Roman" w:cs="Times New Roman"/>
          <w:sz w:val="20"/>
        </w:rPr>
        <w:t xml:space="preserve">The </w:t>
      </w:r>
      <w:r>
        <w:rPr>
          <w:rFonts w:ascii="Times New Roman" w:hAnsi="Times New Roman" w:cs="Times New Roman"/>
          <w:sz w:val="20"/>
        </w:rPr>
        <w:t>Fig.3</w:t>
      </w:r>
      <w:r w:rsidRPr="0077444D">
        <w:rPr>
          <w:rFonts w:ascii="Times New Roman" w:hAnsi="Times New Roman" w:cs="Times New Roman"/>
          <w:sz w:val="20"/>
        </w:rPr>
        <w:t xml:space="preserve"> depicts the alpha returns </w:t>
      </w:r>
      <w:r>
        <w:rPr>
          <w:rFonts w:ascii="Times New Roman" w:hAnsi="Times New Roman" w:cs="Times New Roman"/>
          <w:sz w:val="20"/>
        </w:rPr>
        <w:t xml:space="preserve">of the both portfolios i.e. Portfolio_FL and Portfolio_NFL using Multi-factor model as per mentioned in Table 12. This figure plots alpha returns of both portfolios to assess the trend of alpha returns over the time period of five years. Also, the upper and lower bounds are shown for both portfolios. </w:t>
      </w:r>
      <w:r>
        <w:rPr>
          <w:rFonts w:ascii="Times New Roman" w:hAnsi="Times New Roman" w:cs="Times New Roman"/>
          <w:sz w:val="20"/>
        </w:rPr>
        <w:lastRenderedPageBreak/>
        <w:t>This visual representation facilitates in assessing whether futures trading provides high or low alpha returns</w:t>
      </w:r>
      <w:r w:rsidR="00196E2F">
        <w:rPr>
          <w:rFonts w:ascii="Times New Roman" w:hAnsi="Times New Roman" w:cs="Times New Roman"/>
          <w:sz w:val="20"/>
        </w:rPr>
        <w:t xml:space="preserve"> using multi-factor model</w:t>
      </w:r>
      <w:r>
        <w:rPr>
          <w:rFonts w:ascii="Times New Roman" w:hAnsi="Times New Roman" w:cs="Times New Roman"/>
          <w:sz w:val="20"/>
        </w:rPr>
        <w:t xml:space="preserve">. Fig 3 corresponds to Table 12. </w:t>
      </w:r>
    </w:p>
    <w:p w:rsidR="00934790" w:rsidRDefault="00934790" w:rsidP="00934790">
      <w:pPr>
        <w:spacing w:after="0" w:line="480" w:lineRule="auto"/>
        <w:jc w:val="both"/>
        <w:rPr>
          <w:rFonts w:ascii="Times New Roman" w:hAnsi="Times New Roman" w:cs="Times New Roman"/>
          <w:sz w:val="24"/>
        </w:rPr>
      </w:pPr>
    </w:p>
    <w:p w:rsidR="00837AD1" w:rsidRDefault="00EE1969" w:rsidP="00952247">
      <w:pPr>
        <w:spacing w:after="0" w:line="360" w:lineRule="auto"/>
        <w:rPr>
          <w:rFonts w:ascii="Times New Roman" w:hAnsi="Times New Roman" w:cs="Times New Roman"/>
          <w:sz w:val="24"/>
        </w:rPr>
      </w:pPr>
      <w:r>
        <w:rPr>
          <w:noProof/>
        </w:rPr>
        <w:drawing>
          <wp:inline distT="0" distB="0" distL="0" distR="0">
            <wp:extent cx="5395595" cy="2817628"/>
            <wp:effectExtent l="0" t="0" r="14605" b="190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96E2F" w:rsidRPr="00934557" w:rsidRDefault="00196E2F" w:rsidP="00196E2F">
      <w:pPr>
        <w:spacing w:after="0" w:line="240" w:lineRule="auto"/>
        <w:jc w:val="both"/>
        <w:rPr>
          <w:rFonts w:ascii="Times New Roman" w:hAnsi="Times New Roman" w:cs="Times New Roman"/>
          <w:b/>
          <w:sz w:val="20"/>
        </w:rPr>
      </w:pPr>
      <w:r>
        <w:rPr>
          <w:rFonts w:ascii="Times New Roman" w:hAnsi="Times New Roman" w:cs="Times New Roman"/>
          <w:b/>
          <w:sz w:val="20"/>
        </w:rPr>
        <w:t>Figure 4</w:t>
      </w:r>
      <w:r w:rsidRPr="00934557">
        <w:rPr>
          <w:rFonts w:ascii="Times New Roman" w:hAnsi="Times New Roman" w:cs="Times New Roman"/>
          <w:b/>
          <w:sz w:val="20"/>
        </w:rPr>
        <w:t xml:space="preserve">: </w:t>
      </w:r>
      <w:r w:rsidRPr="007A351B">
        <w:rPr>
          <w:rFonts w:ascii="Times New Roman" w:hAnsi="Times New Roman" w:cs="Times New Roman"/>
          <w:b/>
          <w:sz w:val="20"/>
        </w:rPr>
        <w:t>Market Ri</w:t>
      </w:r>
      <w:r>
        <w:rPr>
          <w:rFonts w:ascii="Times New Roman" w:hAnsi="Times New Roman" w:cs="Times New Roman"/>
          <w:b/>
          <w:sz w:val="20"/>
        </w:rPr>
        <w:t>sk of Both Portfolios Using Multi-factor model</w:t>
      </w:r>
    </w:p>
    <w:p w:rsidR="00B37DF4" w:rsidRPr="00F30971" w:rsidRDefault="00196E2F" w:rsidP="00F30971">
      <w:pPr>
        <w:spacing w:after="0" w:line="240" w:lineRule="auto"/>
        <w:jc w:val="both"/>
        <w:rPr>
          <w:rFonts w:ascii="Times New Roman" w:hAnsi="Times New Roman" w:cs="Times New Roman"/>
          <w:sz w:val="20"/>
        </w:rPr>
      </w:pPr>
      <w:r w:rsidRPr="0077444D">
        <w:rPr>
          <w:rFonts w:ascii="Times New Roman" w:hAnsi="Times New Roman" w:cs="Times New Roman"/>
          <w:b/>
          <w:sz w:val="20"/>
        </w:rPr>
        <w:t xml:space="preserve">Note: </w:t>
      </w:r>
      <w:r w:rsidRPr="0077444D">
        <w:rPr>
          <w:rFonts w:ascii="Times New Roman" w:hAnsi="Times New Roman" w:cs="Times New Roman"/>
          <w:sz w:val="20"/>
        </w:rPr>
        <w:t xml:space="preserve">The </w:t>
      </w:r>
      <w:r w:rsidR="00E6769C">
        <w:rPr>
          <w:rFonts w:ascii="Times New Roman" w:hAnsi="Times New Roman" w:cs="Times New Roman"/>
          <w:sz w:val="20"/>
        </w:rPr>
        <w:t>Fig.4</w:t>
      </w:r>
      <w:r>
        <w:rPr>
          <w:rFonts w:ascii="Times New Roman" w:hAnsi="Times New Roman" w:cs="Times New Roman"/>
          <w:sz w:val="20"/>
        </w:rPr>
        <w:t>depicts the market riskof the both portfolios i.e. Portfolio_FL and Portfolio_NFLusing Multi-factor model as per mentioned in Table 12. This figure plots risk of both portfolios to assess the trend of market risk over the time period of five years. Also, the upper and lower bounds are shown for both portfolios. This visual representation facilitates in assessing whether futures trading has high market risk or low market risk using multi-factor model. Fig 4 corresponds to Table 12</w:t>
      </w:r>
      <w:r w:rsidR="00F30971">
        <w:rPr>
          <w:rFonts w:ascii="Times New Roman" w:hAnsi="Times New Roman" w:cs="Times New Roman"/>
          <w:sz w:val="20"/>
        </w:rPr>
        <w:t>.</w:t>
      </w:r>
    </w:p>
    <w:p w:rsidR="00EE1969" w:rsidRDefault="00EE1969" w:rsidP="00952247">
      <w:pPr>
        <w:spacing w:after="0" w:line="360" w:lineRule="auto"/>
        <w:rPr>
          <w:rFonts w:ascii="Times New Roman" w:hAnsi="Times New Roman" w:cs="Times New Roman"/>
          <w:sz w:val="24"/>
        </w:rPr>
      </w:pPr>
      <w:r>
        <w:rPr>
          <w:noProof/>
        </w:rPr>
        <w:drawing>
          <wp:inline distT="0" distB="0" distL="0" distR="0">
            <wp:extent cx="5486400" cy="2711302"/>
            <wp:effectExtent l="0" t="0" r="0" b="1333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30971" w:rsidRPr="00934557" w:rsidRDefault="00F30971" w:rsidP="00F30971">
      <w:pPr>
        <w:spacing w:after="0" w:line="240" w:lineRule="auto"/>
        <w:jc w:val="both"/>
        <w:rPr>
          <w:rFonts w:ascii="Times New Roman" w:hAnsi="Times New Roman" w:cs="Times New Roman"/>
          <w:b/>
          <w:sz w:val="20"/>
        </w:rPr>
      </w:pPr>
      <w:r>
        <w:rPr>
          <w:rFonts w:ascii="Times New Roman" w:hAnsi="Times New Roman" w:cs="Times New Roman"/>
          <w:b/>
          <w:sz w:val="20"/>
        </w:rPr>
        <w:t>Figure 5:</w:t>
      </w:r>
      <w:r w:rsidRPr="00F30971">
        <w:rPr>
          <w:rFonts w:ascii="Times New Roman" w:hAnsi="Times New Roman" w:cs="Times New Roman"/>
          <w:b/>
          <w:sz w:val="20"/>
        </w:rPr>
        <w:t xml:space="preserve"> Co-efficient of Size Proxy of Both Portfolios using Multiple Factor Model</w:t>
      </w:r>
    </w:p>
    <w:p w:rsidR="00F30971" w:rsidRPr="00F30971" w:rsidRDefault="00F30971" w:rsidP="00F30971">
      <w:pPr>
        <w:spacing w:after="0" w:line="240" w:lineRule="auto"/>
        <w:jc w:val="both"/>
        <w:rPr>
          <w:rFonts w:ascii="Times New Roman" w:hAnsi="Times New Roman" w:cs="Times New Roman"/>
          <w:sz w:val="20"/>
        </w:rPr>
      </w:pPr>
      <w:r w:rsidRPr="0077444D">
        <w:rPr>
          <w:rFonts w:ascii="Times New Roman" w:hAnsi="Times New Roman" w:cs="Times New Roman"/>
          <w:b/>
          <w:sz w:val="20"/>
        </w:rPr>
        <w:t xml:space="preserve">Note: </w:t>
      </w:r>
      <w:r w:rsidRPr="0077444D">
        <w:rPr>
          <w:rFonts w:ascii="Times New Roman" w:hAnsi="Times New Roman" w:cs="Times New Roman"/>
          <w:sz w:val="20"/>
        </w:rPr>
        <w:t xml:space="preserve">The </w:t>
      </w:r>
      <w:r>
        <w:rPr>
          <w:rFonts w:ascii="Times New Roman" w:hAnsi="Times New Roman" w:cs="Times New Roman"/>
          <w:sz w:val="20"/>
        </w:rPr>
        <w:t xml:space="preserve">Fig.5depicts the size proxyof the both portfolios i.e. Portfolio_FL and Portfolio_NFL using Multi-factor model as per mentioned in Table 12. This figure plots </w:t>
      </w:r>
      <w:r w:rsidR="00D578D0">
        <w:rPr>
          <w:rFonts w:ascii="Times New Roman" w:hAnsi="Times New Roman" w:cs="Times New Roman"/>
          <w:sz w:val="20"/>
        </w:rPr>
        <w:t>size proxy</w:t>
      </w:r>
      <w:r>
        <w:rPr>
          <w:rFonts w:ascii="Times New Roman" w:hAnsi="Times New Roman" w:cs="Times New Roman"/>
          <w:sz w:val="20"/>
        </w:rPr>
        <w:t xml:space="preserve"> of both portfolios to assess the </w:t>
      </w:r>
      <w:r w:rsidR="00D578D0">
        <w:rPr>
          <w:rFonts w:ascii="Times New Roman" w:hAnsi="Times New Roman" w:cs="Times New Roman"/>
          <w:sz w:val="20"/>
        </w:rPr>
        <w:t xml:space="preserve">impact of size </w:t>
      </w:r>
      <w:r>
        <w:rPr>
          <w:rFonts w:ascii="Times New Roman" w:hAnsi="Times New Roman" w:cs="Times New Roman"/>
          <w:sz w:val="20"/>
        </w:rPr>
        <w:t>over the time period of five years. Also, the upper and lower bound</w:t>
      </w:r>
      <w:r w:rsidR="00C4166F">
        <w:rPr>
          <w:rFonts w:ascii="Times New Roman" w:hAnsi="Times New Roman" w:cs="Times New Roman"/>
          <w:sz w:val="20"/>
        </w:rPr>
        <w:t>s are shown for both portfolios</w:t>
      </w:r>
      <w:r>
        <w:rPr>
          <w:rFonts w:ascii="Times New Roman" w:hAnsi="Times New Roman" w:cs="Times New Roman"/>
          <w:sz w:val="20"/>
        </w:rPr>
        <w:t>. Fig 5 corresponds to Table 12.</w:t>
      </w:r>
    </w:p>
    <w:p w:rsidR="00EE1969" w:rsidRDefault="00EE1969" w:rsidP="00EE1969">
      <w:pPr>
        <w:spacing w:line="480" w:lineRule="auto"/>
        <w:jc w:val="both"/>
        <w:rPr>
          <w:rFonts w:ascii="Times New Roman" w:hAnsi="Times New Roman" w:cs="Times New Roman"/>
          <w:sz w:val="24"/>
        </w:rPr>
      </w:pPr>
    </w:p>
    <w:p w:rsidR="00EE1969" w:rsidRDefault="00EE1969" w:rsidP="00952247">
      <w:pPr>
        <w:spacing w:after="0" w:line="360" w:lineRule="auto"/>
        <w:rPr>
          <w:rFonts w:ascii="Times New Roman" w:hAnsi="Times New Roman" w:cs="Times New Roman"/>
          <w:sz w:val="24"/>
        </w:rPr>
      </w:pPr>
      <w:r>
        <w:rPr>
          <w:noProof/>
        </w:rPr>
        <w:lastRenderedPageBreak/>
        <w:drawing>
          <wp:inline distT="0" distB="0" distL="0" distR="0">
            <wp:extent cx="5507665" cy="2819400"/>
            <wp:effectExtent l="0" t="0" r="17145"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4166F" w:rsidRPr="00934557" w:rsidRDefault="00C4166F" w:rsidP="00C4166F">
      <w:pPr>
        <w:spacing w:after="0" w:line="240" w:lineRule="auto"/>
        <w:jc w:val="both"/>
        <w:rPr>
          <w:rFonts w:ascii="Times New Roman" w:hAnsi="Times New Roman" w:cs="Times New Roman"/>
          <w:b/>
          <w:sz w:val="20"/>
        </w:rPr>
      </w:pPr>
      <w:r>
        <w:rPr>
          <w:rFonts w:ascii="Times New Roman" w:hAnsi="Times New Roman" w:cs="Times New Roman"/>
          <w:b/>
          <w:sz w:val="20"/>
        </w:rPr>
        <w:t>Figure 6: Co-efficient of Value</w:t>
      </w:r>
      <w:r w:rsidRPr="00F30971">
        <w:rPr>
          <w:rFonts w:ascii="Times New Roman" w:hAnsi="Times New Roman" w:cs="Times New Roman"/>
          <w:b/>
          <w:sz w:val="20"/>
        </w:rPr>
        <w:t xml:space="preserve"> Proxy o</w:t>
      </w:r>
      <w:r>
        <w:rPr>
          <w:rFonts w:ascii="Times New Roman" w:hAnsi="Times New Roman" w:cs="Times New Roman"/>
          <w:b/>
          <w:sz w:val="20"/>
        </w:rPr>
        <w:t>f Both Portfolios using Multi-</w:t>
      </w:r>
      <w:r w:rsidRPr="00F30971">
        <w:rPr>
          <w:rFonts w:ascii="Times New Roman" w:hAnsi="Times New Roman" w:cs="Times New Roman"/>
          <w:b/>
          <w:sz w:val="20"/>
        </w:rPr>
        <w:t xml:space="preserve"> Factor Model</w:t>
      </w:r>
    </w:p>
    <w:p w:rsidR="00876136" w:rsidRDefault="00C4166F" w:rsidP="00876136">
      <w:pPr>
        <w:spacing w:after="0" w:line="240" w:lineRule="auto"/>
        <w:jc w:val="both"/>
        <w:rPr>
          <w:rFonts w:ascii="Times New Roman" w:hAnsi="Times New Roman" w:cs="Times New Roman"/>
          <w:sz w:val="20"/>
        </w:rPr>
      </w:pPr>
      <w:r w:rsidRPr="0077444D">
        <w:rPr>
          <w:rFonts w:ascii="Times New Roman" w:hAnsi="Times New Roman" w:cs="Times New Roman"/>
          <w:b/>
          <w:sz w:val="20"/>
        </w:rPr>
        <w:t xml:space="preserve">Note: </w:t>
      </w:r>
      <w:r w:rsidRPr="0077444D">
        <w:rPr>
          <w:rFonts w:ascii="Times New Roman" w:hAnsi="Times New Roman" w:cs="Times New Roman"/>
          <w:sz w:val="20"/>
        </w:rPr>
        <w:t xml:space="preserve">The </w:t>
      </w:r>
      <w:r w:rsidR="00265898">
        <w:rPr>
          <w:rFonts w:ascii="Times New Roman" w:hAnsi="Times New Roman" w:cs="Times New Roman"/>
          <w:sz w:val="20"/>
        </w:rPr>
        <w:t>Fig.6</w:t>
      </w:r>
      <w:r>
        <w:rPr>
          <w:rFonts w:ascii="Times New Roman" w:hAnsi="Times New Roman" w:cs="Times New Roman"/>
          <w:sz w:val="20"/>
        </w:rPr>
        <w:t xml:space="preserve">depicts the value proxyof the both portfolios i.e. Portfolio_FL and Portfolio_NFL using Multi-factor model as per mentioned in Table 12. This figure plots </w:t>
      </w:r>
      <w:r w:rsidR="00092863">
        <w:rPr>
          <w:rFonts w:ascii="Times New Roman" w:hAnsi="Times New Roman" w:cs="Times New Roman"/>
          <w:sz w:val="20"/>
        </w:rPr>
        <w:t>value</w:t>
      </w:r>
      <w:r>
        <w:rPr>
          <w:rFonts w:ascii="Times New Roman" w:hAnsi="Times New Roman" w:cs="Times New Roman"/>
          <w:sz w:val="20"/>
        </w:rPr>
        <w:t xml:space="preserve"> proxy of both portfolios to assess the impact of value over the time period of five years. Also, the upper and lower bounds are shown for both portfolios</w:t>
      </w:r>
      <w:r w:rsidR="00265898">
        <w:rPr>
          <w:rFonts w:ascii="Times New Roman" w:hAnsi="Times New Roman" w:cs="Times New Roman"/>
          <w:sz w:val="20"/>
        </w:rPr>
        <w:t>. Fig 6</w:t>
      </w:r>
      <w:r>
        <w:rPr>
          <w:rFonts w:ascii="Times New Roman" w:hAnsi="Times New Roman" w:cs="Times New Roman"/>
          <w:sz w:val="20"/>
        </w:rPr>
        <w:t xml:space="preserve"> corresponds to Table 12.</w:t>
      </w:r>
    </w:p>
    <w:p w:rsidR="00876136" w:rsidRDefault="00876136" w:rsidP="00876136">
      <w:pPr>
        <w:spacing w:after="0" w:line="240" w:lineRule="auto"/>
        <w:jc w:val="both"/>
        <w:rPr>
          <w:rFonts w:ascii="Times New Roman" w:hAnsi="Times New Roman" w:cs="Times New Roman"/>
          <w:sz w:val="20"/>
        </w:rPr>
      </w:pPr>
    </w:p>
    <w:p w:rsidR="00876136" w:rsidRPr="00876136" w:rsidRDefault="00876136" w:rsidP="00876136">
      <w:pPr>
        <w:spacing w:after="0" w:line="240" w:lineRule="auto"/>
        <w:jc w:val="both"/>
        <w:rPr>
          <w:rFonts w:ascii="Times New Roman" w:hAnsi="Times New Roman" w:cs="Times New Roman"/>
          <w:sz w:val="20"/>
        </w:rPr>
      </w:pPr>
    </w:p>
    <w:p w:rsidR="00B37DF4" w:rsidRDefault="00B37DF4" w:rsidP="00952247">
      <w:pPr>
        <w:spacing w:after="0" w:line="360" w:lineRule="auto"/>
        <w:rPr>
          <w:rFonts w:ascii="Times New Roman" w:hAnsi="Times New Roman" w:cs="Times New Roman"/>
          <w:sz w:val="24"/>
        </w:rPr>
      </w:pPr>
    </w:p>
    <w:p w:rsidR="00EE1969" w:rsidRDefault="00EE1969" w:rsidP="00876136">
      <w:pPr>
        <w:spacing w:after="0" w:line="480" w:lineRule="auto"/>
        <w:jc w:val="both"/>
        <w:rPr>
          <w:rFonts w:ascii="Times New Roman" w:hAnsi="Times New Roman" w:cs="Times New Roman"/>
          <w:color w:val="000000" w:themeColor="text1"/>
          <w:sz w:val="24"/>
        </w:rPr>
      </w:pPr>
      <w:r>
        <w:rPr>
          <w:noProof/>
        </w:rPr>
        <w:drawing>
          <wp:inline distT="0" distB="0" distL="0" distR="0">
            <wp:extent cx="5241851" cy="2785730"/>
            <wp:effectExtent l="0" t="0" r="16510" b="1524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76136" w:rsidRPr="00876136" w:rsidRDefault="00876136" w:rsidP="00876136">
      <w:pPr>
        <w:spacing w:after="0" w:line="240" w:lineRule="auto"/>
        <w:jc w:val="both"/>
        <w:rPr>
          <w:rFonts w:ascii="Times New Roman" w:hAnsi="Times New Roman" w:cs="Times New Roman"/>
          <w:b/>
          <w:sz w:val="20"/>
        </w:rPr>
      </w:pPr>
      <w:r w:rsidRPr="00876136">
        <w:rPr>
          <w:rFonts w:ascii="Times New Roman" w:hAnsi="Times New Roman" w:cs="Times New Roman"/>
          <w:b/>
          <w:sz w:val="20"/>
        </w:rPr>
        <w:t>Figure 7: Symmetric Volatility of Both Portfolios using CAPM</w:t>
      </w:r>
    </w:p>
    <w:p w:rsidR="00974AD5" w:rsidRDefault="004028B5" w:rsidP="00974AD5">
      <w:pPr>
        <w:spacing w:after="0" w:line="240" w:lineRule="auto"/>
        <w:jc w:val="both"/>
        <w:rPr>
          <w:rFonts w:ascii="Times New Roman" w:hAnsi="Times New Roman" w:cs="Times New Roman"/>
          <w:sz w:val="20"/>
        </w:rPr>
      </w:pPr>
      <w:r>
        <w:rPr>
          <w:rFonts w:ascii="Times New Roman" w:hAnsi="Times New Roman" w:cs="Times New Roman"/>
          <w:b/>
          <w:sz w:val="20"/>
        </w:rPr>
        <w:t>Note</w:t>
      </w:r>
      <w:bookmarkStart w:id="25" w:name="_GoBack"/>
      <w:bookmarkEnd w:id="25"/>
      <w:r w:rsidR="00974AD5" w:rsidRPr="0077444D">
        <w:rPr>
          <w:rFonts w:ascii="Times New Roman" w:hAnsi="Times New Roman" w:cs="Times New Roman"/>
          <w:b/>
          <w:sz w:val="20"/>
        </w:rPr>
        <w:t xml:space="preserve">: </w:t>
      </w:r>
      <w:r w:rsidR="00974AD5" w:rsidRPr="0077444D">
        <w:rPr>
          <w:rFonts w:ascii="Times New Roman" w:hAnsi="Times New Roman" w:cs="Times New Roman"/>
          <w:sz w:val="20"/>
        </w:rPr>
        <w:t xml:space="preserve">The </w:t>
      </w:r>
      <w:r w:rsidR="00974AD5">
        <w:rPr>
          <w:rFonts w:ascii="Times New Roman" w:hAnsi="Times New Roman" w:cs="Times New Roman"/>
          <w:sz w:val="20"/>
        </w:rPr>
        <w:t>Fig.7depicts the symmetric volatilityof the both portfolios i.e. Portfolio_FL and Portfolio_NFL using CAPM as per mentioned in Table 16. This figure plots symmetric volatility of both portfolios to assess the volatility over the time period of five years. Fig 7 corresponds to Table 16.</w:t>
      </w:r>
    </w:p>
    <w:p w:rsidR="00876136" w:rsidRPr="00876136" w:rsidRDefault="00876136" w:rsidP="00876136">
      <w:pPr>
        <w:spacing w:after="0" w:line="240" w:lineRule="auto"/>
        <w:jc w:val="both"/>
        <w:rPr>
          <w:rFonts w:ascii="Times New Roman" w:hAnsi="Times New Roman" w:cs="Times New Roman"/>
          <w:sz w:val="20"/>
        </w:rPr>
      </w:pPr>
    </w:p>
    <w:p w:rsidR="00EE1969" w:rsidRDefault="00EE1969" w:rsidP="00EE1969">
      <w:pPr>
        <w:spacing w:before="240" w:line="480" w:lineRule="auto"/>
        <w:jc w:val="both"/>
        <w:rPr>
          <w:rFonts w:ascii="Times New Roman" w:hAnsi="Times New Roman" w:cs="Times New Roman"/>
          <w:color w:val="000000" w:themeColor="text1"/>
          <w:sz w:val="24"/>
        </w:rPr>
      </w:pPr>
      <w:r>
        <w:rPr>
          <w:noProof/>
        </w:rPr>
        <w:lastRenderedPageBreak/>
        <w:drawing>
          <wp:inline distT="0" distB="0" distL="0" distR="0">
            <wp:extent cx="5241851" cy="2796363"/>
            <wp:effectExtent l="0" t="0" r="16510" b="444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76136" w:rsidRPr="00934557" w:rsidRDefault="00876136" w:rsidP="00876136">
      <w:pPr>
        <w:spacing w:after="0" w:line="240" w:lineRule="auto"/>
        <w:jc w:val="both"/>
        <w:rPr>
          <w:rFonts w:ascii="Times New Roman" w:hAnsi="Times New Roman" w:cs="Times New Roman"/>
          <w:b/>
          <w:sz w:val="20"/>
        </w:rPr>
      </w:pPr>
      <w:r>
        <w:rPr>
          <w:rFonts w:ascii="Times New Roman" w:hAnsi="Times New Roman" w:cs="Times New Roman"/>
          <w:b/>
          <w:sz w:val="20"/>
        </w:rPr>
        <w:t>Figure 8</w:t>
      </w:r>
      <w:r w:rsidRPr="00876136">
        <w:rPr>
          <w:rFonts w:ascii="Times New Roman" w:hAnsi="Times New Roman" w:cs="Times New Roman"/>
          <w:b/>
          <w:sz w:val="20"/>
        </w:rPr>
        <w:t>: Symmetric Volatili</w:t>
      </w:r>
      <w:r>
        <w:rPr>
          <w:rFonts w:ascii="Times New Roman" w:hAnsi="Times New Roman" w:cs="Times New Roman"/>
          <w:b/>
          <w:sz w:val="20"/>
        </w:rPr>
        <w:t>ty of Both Portfolios using Multi-factor model</w:t>
      </w:r>
    </w:p>
    <w:p w:rsidR="00876136" w:rsidRDefault="00876136" w:rsidP="00876136">
      <w:pPr>
        <w:spacing w:after="0" w:line="240" w:lineRule="auto"/>
        <w:jc w:val="both"/>
        <w:rPr>
          <w:rFonts w:ascii="Times New Roman" w:hAnsi="Times New Roman" w:cs="Times New Roman"/>
          <w:sz w:val="20"/>
        </w:rPr>
      </w:pPr>
      <w:r w:rsidRPr="0077444D">
        <w:rPr>
          <w:rFonts w:ascii="Times New Roman" w:hAnsi="Times New Roman" w:cs="Times New Roman"/>
          <w:b/>
          <w:sz w:val="20"/>
        </w:rPr>
        <w:t xml:space="preserve">Note: </w:t>
      </w:r>
      <w:r w:rsidRPr="0077444D">
        <w:rPr>
          <w:rFonts w:ascii="Times New Roman" w:hAnsi="Times New Roman" w:cs="Times New Roman"/>
          <w:sz w:val="20"/>
        </w:rPr>
        <w:t xml:space="preserve">The </w:t>
      </w:r>
      <w:r w:rsidR="00227358">
        <w:rPr>
          <w:rFonts w:ascii="Times New Roman" w:hAnsi="Times New Roman" w:cs="Times New Roman"/>
          <w:sz w:val="20"/>
        </w:rPr>
        <w:t>Fig.8</w:t>
      </w:r>
      <w:r>
        <w:rPr>
          <w:rFonts w:ascii="Times New Roman" w:hAnsi="Times New Roman" w:cs="Times New Roman"/>
          <w:sz w:val="20"/>
        </w:rPr>
        <w:t xml:space="preserve">depicts the </w:t>
      </w:r>
      <w:r w:rsidR="00227358">
        <w:rPr>
          <w:rFonts w:ascii="Times New Roman" w:hAnsi="Times New Roman" w:cs="Times New Roman"/>
          <w:sz w:val="20"/>
        </w:rPr>
        <w:t>symmetric volatility</w:t>
      </w:r>
      <w:r>
        <w:rPr>
          <w:rFonts w:ascii="Times New Roman" w:hAnsi="Times New Roman" w:cs="Times New Roman"/>
          <w:sz w:val="20"/>
        </w:rPr>
        <w:t>of the both portfolios i.e. Portfolio_FL and Portfolio_NFL using Multi-factor model</w:t>
      </w:r>
      <w:r w:rsidR="00227358">
        <w:rPr>
          <w:rFonts w:ascii="Times New Roman" w:hAnsi="Times New Roman" w:cs="Times New Roman"/>
          <w:sz w:val="20"/>
        </w:rPr>
        <w:t xml:space="preserve"> as per mentioned in Table 16</w:t>
      </w:r>
      <w:r>
        <w:rPr>
          <w:rFonts w:ascii="Times New Roman" w:hAnsi="Times New Roman" w:cs="Times New Roman"/>
          <w:sz w:val="20"/>
        </w:rPr>
        <w:t xml:space="preserve">. This figure plots </w:t>
      </w:r>
      <w:r w:rsidR="00227358">
        <w:rPr>
          <w:rFonts w:ascii="Times New Roman" w:hAnsi="Times New Roman" w:cs="Times New Roman"/>
          <w:sz w:val="20"/>
        </w:rPr>
        <w:t>symmetric volatility</w:t>
      </w:r>
      <w:r>
        <w:rPr>
          <w:rFonts w:ascii="Times New Roman" w:hAnsi="Times New Roman" w:cs="Times New Roman"/>
          <w:sz w:val="20"/>
        </w:rPr>
        <w:t xml:space="preserve"> of both portfolios to assess </w:t>
      </w:r>
      <w:r w:rsidR="00227358">
        <w:rPr>
          <w:rFonts w:ascii="Times New Roman" w:hAnsi="Times New Roman" w:cs="Times New Roman"/>
          <w:sz w:val="20"/>
        </w:rPr>
        <w:t xml:space="preserve">the volatility </w:t>
      </w:r>
      <w:r>
        <w:rPr>
          <w:rFonts w:ascii="Times New Roman" w:hAnsi="Times New Roman" w:cs="Times New Roman"/>
          <w:sz w:val="20"/>
        </w:rPr>
        <w:t>ove</w:t>
      </w:r>
      <w:r w:rsidR="00227358">
        <w:rPr>
          <w:rFonts w:ascii="Times New Roman" w:hAnsi="Times New Roman" w:cs="Times New Roman"/>
          <w:sz w:val="20"/>
        </w:rPr>
        <w:t>r the time period of five years. Fig 8corresponds to Table 16.</w:t>
      </w:r>
    </w:p>
    <w:p w:rsidR="00EE1969" w:rsidRPr="00952247" w:rsidRDefault="00EE1969" w:rsidP="00952247">
      <w:pPr>
        <w:spacing w:after="0" w:line="360" w:lineRule="auto"/>
        <w:rPr>
          <w:rFonts w:ascii="Times New Roman" w:hAnsi="Times New Roman" w:cs="Times New Roman"/>
          <w:sz w:val="24"/>
        </w:rPr>
      </w:pPr>
    </w:p>
    <w:sectPr w:rsidR="00EE1969" w:rsidRPr="00952247" w:rsidSect="008C0B72">
      <w:footerReference w:type="default" r:id="rId1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6B6D" w:rsidRDefault="00276B6D" w:rsidP="0033194F">
      <w:pPr>
        <w:spacing w:after="0" w:line="240" w:lineRule="auto"/>
      </w:pPr>
      <w:r>
        <w:separator/>
      </w:r>
    </w:p>
  </w:endnote>
  <w:endnote w:type="continuationSeparator" w:id="1">
    <w:p w:rsidR="00276B6D" w:rsidRDefault="00276B6D" w:rsidP="003319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01129"/>
      <w:docPartObj>
        <w:docPartGallery w:val="Page Numbers (Bottom of Page)"/>
        <w:docPartUnique/>
      </w:docPartObj>
    </w:sdtPr>
    <w:sdtEndPr>
      <w:rPr>
        <w:noProof/>
      </w:rPr>
    </w:sdtEndPr>
    <w:sdtContent>
      <w:p w:rsidR="00265898" w:rsidRDefault="008C0B72">
        <w:pPr>
          <w:pStyle w:val="Footer"/>
          <w:jc w:val="right"/>
        </w:pPr>
        <w:r>
          <w:fldChar w:fldCharType="begin"/>
        </w:r>
        <w:r w:rsidR="00265898">
          <w:instrText xml:space="preserve"> PAGE   \* MERGEFORMAT </w:instrText>
        </w:r>
        <w:r>
          <w:fldChar w:fldCharType="separate"/>
        </w:r>
        <w:r w:rsidR="00685D1D">
          <w:rPr>
            <w:noProof/>
          </w:rPr>
          <w:t>72</w:t>
        </w:r>
        <w:r>
          <w:rPr>
            <w:noProof/>
          </w:rPr>
          <w:fldChar w:fldCharType="end"/>
        </w:r>
      </w:p>
    </w:sdtContent>
  </w:sdt>
  <w:p w:rsidR="00265898" w:rsidRDefault="002658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6B6D" w:rsidRDefault="00276B6D" w:rsidP="0033194F">
      <w:pPr>
        <w:spacing w:after="0" w:line="240" w:lineRule="auto"/>
      </w:pPr>
      <w:r>
        <w:separator/>
      </w:r>
    </w:p>
  </w:footnote>
  <w:footnote w:type="continuationSeparator" w:id="1">
    <w:p w:rsidR="00276B6D" w:rsidRDefault="00276B6D" w:rsidP="003319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71F4F"/>
    <w:multiLevelType w:val="hybridMultilevel"/>
    <w:tmpl w:val="83245CEA"/>
    <w:lvl w:ilvl="0" w:tplc="04090001">
      <w:start w:val="1"/>
      <w:numFmt w:val="bullet"/>
      <w:lvlText w:val=""/>
      <w:lvlJc w:val="left"/>
      <w:pPr>
        <w:tabs>
          <w:tab w:val="num" w:pos="720"/>
        </w:tabs>
        <w:ind w:left="720" w:hanging="360"/>
      </w:pPr>
      <w:rPr>
        <w:rFonts w:ascii="Symbol" w:hAnsi="Symbol" w:hint="default"/>
      </w:rPr>
    </w:lvl>
    <w:lvl w:ilvl="1" w:tplc="DF5A0626" w:tentative="1">
      <w:start w:val="1"/>
      <w:numFmt w:val="decimal"/>
      <w:lvlText w:val="%2."/>
      <w:lvlJc w:val="left"/>
      <w:pPr>
        <w:tabs>
          <w:tab w:val="num" w:pos="1440"/>
        </w:tabs>
        <w:ind w:left="1440" w:hanging="360"/>
      </w:pPr>
    </w:lvl>
    <w:lvl w:ilvl="2" w:tplc="1A1AC98C" w:tentative="1">
      <w:start w:val="1"/>
      <w:numFmt w:val="decimal"/>
      <w:lvlText w:val="%3."/>
      <w:lvlJc w:val="left"/>
      <w:pPr>
        <w:tabs>
          <w:tab w:val="num" w:pos="2160"/>
        </w:tabs>
        <w:ind w:left="2160" w:hanging="360"/>
      </w:pPr>
    </w:lvl>
    <w:lvl w:ilvl="3" w:tplc="A1A25ABA" w:tentative="1">
      <w:start w:val="1"/>
      <w:numFmt w:val="decimal"/>
      <w:lvlText w:val="%4."/>
      <w:lvlJc w:val="left"/>
      <w:pPr>
        <w:tabs>
          <w:tab w:val="num" w:pos="2880"/>
        </w:tabs>
        <w:ind w:left="2880" w:hanging="360"/>
      </w:pPr>
    </w:lvl>
    <w:lvl w:ilvl="4" w:tplc="03D093F8" w:tentative="1">
      <w:start w:val="1"/>
      <w:numFmt w:val="decimal"/>
      <w:lvlText w:val="%5."/>
      <w:lvlJc w:val="left"/>
      <w:pPr>
        <w:tabs>
          <w:tab w:val="num" w:pos="3600"/>
        </w:tabs>
        <w:ind w:left="3600" w:hanging="360"/>
      </w:pPr>
    </w:lvl>
    <w:lvl w:ilvl="5" w:tplc="0D2228E6" w:tentative="1">
      <w:start w:val="1"/>
      <w:numFmt w:val="decimal"/>
      <w:lvlText w:val="%6."/>
      <w:lvlJc w:val="left"/>
      <w:pPr>
        <w:tabs>
          <w:tab w:val="num" w:pos="4320"/>
        </w:tabs>
        <w:ind w:left="4320" w:hanging="360"/>
      </w:pPr>
    </w:lvl>
    <w:lvl w:ilvl="6" w:tplc="462C5944" w:tentative="1">
      <w:start w:val="1"/>
      <w:numFmt w:val="decimal"/>
      <w:lvlText w:val="%7."/>
      <w:lvlJc w:val="left"/>
      <w:pPr>
        <w:tabs>
          <w:tab w:val="num" w:pos="5040"/>
        </w:tabs>
        <w:ind w:left="5040" w:hanging="360"/>
      </w:pPr>
    </w:lvl>
    <w:lvl w:ilvl="7" w:tplc="DE806020" w:tentative="1">
      <w:start w:val="1"/>
      <w:numFmt w:val="decimal"/>
      <w:lvlText w:val="%8."/>
      <w:lvlJc w:val="left"/>
      <w:pPr>
        <w:tabs>
          <w:tab w:val="num" w:pos="5760"/>
        </w:tabs>
        <w:ind w:left="5760" w:hanging="360"/>
      </w:pPr>
    </w:lvl>
    <w:lvl w:ilvl="8" w:tplc="0B703D6A" w:tentative="1">
      <w:start w:val="1"/>
      <w:numFmt w:val="decimal"/>
      <w:lvlText w:val="%9."/>
      <w:lvlJc w:val="left"/>
      <w:pPr>
        <w:tabs>
          <w:tab w:val="num" w:pos="6480"/>
        </w:tabs>
        <w:ind w:left="6480" w:hanging="360"/>
      </w:pPr>
    </w:lvl>
  </w:abstractNum>
  <w:abstractNum w:abstractNumId="1">
    <w:nsid w:val="029C428E"/>
    <w:multiLevelType w:val="multilevel"/>
    <w:tmpl w:val="FD5C7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D1429C"/>
    <w:multiLevelType w:val="hybridMultilevel"/>
    <w:tmpl w:val="34D09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DD4CFD"/>
    <w:multiLevelType w:val="multilevel"/>
    <w:tmpl w:val="A2A07C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DF9131C"/>
    <w:multiLevelType w:val="hybridMultilevel"/>
    <w:tmpl w:val="925A2432"/>
    <w:lvl w:ilvl="0" w:tplc="DF1E2560">
      <w:start w:val="1"/>
      <w:numFmt w:val="decimal"/>
      <w:lvlText w:val="%1."/>
      <w:lvlJc w:val="left"/>
      <w:pPr>
        <w:tabs>
          <w:tab w:val="num" w:pos="720"/>
        </w:tabs>
        <w:ind w:left="720" w:hanging="360"/>
      </w:pPr>
    </w:lvl>
    <w:lvl w:ilvl="1" w:tplc="393E4818" w:tentative="1">
      <w:start w:val="1"/>
      <w:numFmt w:val="decimal"/>
      <w:lvlText w:val="%2."/>
      <w:lvlJc w:val="left"/>
      <w:pPr>
        <w:tabs>
          <w:tab w:val="num" w:pos="1440"/>
        </w:tabs>
        <w:ind w:left="1440" w:hanging="360"/>
      </w:pPr>
    </w:lvl>
    <w:lvl w:ilvl="2" w:tplc="177A12FA" w:tentative="1">
      <w:start w:val="1"/>
      <w:numFmt w:val="decimal"/>
      <w:lvlText w:val="%3."/>
      <w:lvlJc w:val="left"/>
      <w:pPr>
        <w:tabs>
          <w:tab w:val="num" w:pos="2160"/>
        </w:tabs>
        <w:ind w:left="2160" w:hanging="360"/>
      </w:pPr>
    </w:lvl>
    <w:lvl w:ilvl="3" w:tplc="7C8EB11C" w:tentative="1">
      <w:start w:val="1"/>
      <w:numFmt w:val="decimal"/>
      <w:lvlText w:val="%4."/>
      <w:lvlJc w:val="left"/>
      <w:pPr>
        <w:tabs>
          <w:tab w:val="num" w:pos="2880"/>
        </w:tabs>
        <w:ind w:left="2880" w:hanging="360"/>
      </w:pPr>
    </w:lvl>
    <w:lvl w:ilvl="4" w:tplc="FC98EA0E" w:tentative="1">
      <w:start w:val="1"/>
      <w:numFmt w:val="decimal"/>
      <w:lvlText w:val="%5."/>
      <w:lvlJc w:val="left"/>
      <w:pPr>
        <w:tabs>
          <w:tab w:val="num" w:pos="3600"/>
        </w:tabs>
        <w:ind w:left="3600" w:hanging="360"/>
      </w:pPr>
    </w:lvl>
    <w:lvl w:ilvl="5" w:tplc="CA0CB0CA" w:tentative="1">
      <w:start w:val="1"/>
      <w:numFmt w:val="decimal"/>
      <w:lvlText w:val="%6."/>
      <w:lvlJc w:val="left"/>
      <w:pPr>
        <w:tabs>
          <w:tab w:val="num" w:pos="4320"/>
        </w:tabs>
        <w:ind w:left="4320" w:hanging="360"/>
      </w:pPr>
    </w:lvl>
    <w:lvl w:ilvl="6" w:tplc="CB424AEE" w:tentative="1">
      <w:start w:val="1"/>
      <w:numFmt w:val="decimal"/>
      <w:lvlText w:val="%7."/>
      <w:lvlJc w:val="left"/>
      <w:pPr>
        <w:tabs>
          <w:tab w:val="num" w:pos="5040"/>
        </w:tabs>
        <w:ind w:left="5040" w:hanging="360"/>
      </w:pPr>
    </w:lvl>
    <w:lvl w:ilvl="7" w:tplc="F844DCC6" w:tentative="1">
      <w:start w:val="1"/>
      <w:numFmt w:val="decimal"/>
      <w:lvlText w:val="%8."/>
      <w:lvlJc w:val="left"/>
      <w:pPr>
        <w:tabs>
          <w:tab w:val="num" w:pos="5760"/>
        </w:tabs>
        <w:ind w:left="5760" w:hanging="360"/>
      </w:pPr>
    </w:lvl>
    <w:lvl w:ilvl="8" w:tplc="381016EA" w:tentative="1">
      <w:start w:val="1"/>
      <w:numFmt w:val="decimal"/>
      <w:lvlText w:val="%9."/>
      <w:lvlJc w:val="left"/>
      <w:pPr>
        <w:tabs>
          <w:tab w:val="num" w:pos="6480"/>
        </w:tabs>
        <w:ind w:left="6480" w:hanging="360"/>
      </w:pPr>
    </w:lvl>
  </w:abstractNum>
  <w:abstractNum w:abstractNumId="5">
    <w:nsid w:val="29071995"/>
    <w:multiLevelType w:val="hybridMultilevel"/>
    <w:tmpl w:val="9872B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B516AF"/>
    <w:multiLevelType w:val="hybridMultilevel"/>
    <w:tmpl w:val="E8C6A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C85218"/>
    <w:multiLevelType w:val="hybridMultilevel"/>
    <w:tmpl w:val="F8F0C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6312AD4"/>
    <w:multiLevelType w:val="hybridMultilevel"/>
    <w:tmpl w:val="8BA84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8E1BA1"/>
    <w:multiLevelType w:val="hybridMultilevel"/>
    <w:tmpl w:val="637C0B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F5A3147"/>
    <w:multiLevelType w:val="hybridMultilevel"/>
    <w:tmpl w:val="7EC6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05D7246"/>
    <w:multiLevelType w:val="multilevel"/>
    <w:tmpl w:val="67A48A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D893AFF"/>
    <w:multiLevelType w:val="hybridMultilevel"/>
    <w:tmpl w:val="EEA01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A43A09"/>
    <w:multiLevelType w:val="hybridMultilevel"/>
    <w:tmpl w:val="4C18B94A"/>
    <w:lvl w:ilvl="0" w:tplc="E6C228F6">
      <w:start w:val="1"/>
      <w:numFmt w:val="decimal"/>
      <w:lvlText w:val="%1."/>
      <w:lvlJc w:val="left"/>
      <w:pPr>
        <w:tabs>
          <w:tab w:val="num" w:pos="720"/>
        </w:tabs>
        <w:ind w:left="720" w:hanging="360"/>
      </w:pPr>
    </w:lvl>
    <w:lvl w:ilvl="1" w:tplc="E0329FF8" w:tentative="1">
      <w:start w:val="1"/>
      <w:numFmt w:val="decimal"/>
      <w:lvlText w:val="%2."/>
      <w:lvlJc w:val="left"/>
      <w:pPr>
        <w:tabs>
          <w:tab w:val="num" w:pos="1440"/>
        </w:tabs>
        <w:ind w:left="1440" w:hanging="360"/>
      </w:pPr>
    </w:lvl>
    <w:lvl w:ilvl="2" w:tplc="8DC66EDA" w:tentative="1">
      <w:start w:val="1"/>
      <w:numFmt w:val="decimal"/>
      <w:lvlText w:val="%3."/>
      <w:lvlJc w:val="left"/>
      <w:pPr>
        <w:tabs>
          <w:tab w:val="num" w:pos="2160"/>
        </w:tabs>
        <w:ind w:left="2160" w:hanging="360"/>
      </w:pPr>
    </w:lvl>
    <w:lvl w:ilvl="3" w:tplc="0CEE7C0C" w:tentative="1">
      <w:start w:val="1"/>
      <w:numFmt w:val="decimal"/>
      <w:lvlText w:val="%4."/>
      <w:lvlJc w:val="left"/>
      <w:pPr>
        <w:tabs>
          <w:tab w:val="num" w:pos="2880"/>
        </w:tabs>
        <w:ind w:left="2880" w:hanging="360"/>
      </w:pPr>
    </w:lvl>
    <w:lvl w:ilvl="4" w:tplc="59661672" w:tentative="1">
      <w:start w:val="1"/>
      <w:numFmt w:val="decimal"/>
      <w:lvlText w:val="%5."/>
      <w:lvlJc w:val="left"/>
      <w:pPr>
        <w:tabs>
          <w:tab w:val="num" w:pos="3600"/>
        </w:tabs>
        <w:ind w:left="3600" w:hanging="360"/>
      </w:pPr>
    </w:lvl>
    <w:lvl w:ilvl="5" w:tplc="8C9A7EEA" w:tentative="1">
      <w:start w:val="1"/>
      <w:numFmt w:val="decimal"/>
      <w:lvlText w:val="%6."/>
      <w:lvlJc w:val="left"/>
      <w:pPr>
        <w:tabs>
          <w:tab w:val="num" w:pos="4320"/>
        </w:tabs>
        <w:ind w:left="4320" w:hanging="360"/>
      </w:pPr>
    </w:lvl>
    <w:lvl w:ilvl="6" w:tplc="4606D7D2" w:tentative="1">
      <w:start w:val="1"/>
      <w:numFmt w:val="decimal"/>
      <w:lvlText w:val="%7."/>
      <w:lvlJc w:val="left"/>
      <w:pPr>
        <w:tabs>
          <w:tab w:val="num" w:pos="5040"/>
        </w:tabs>
        <w:ind w:left="5040" w:hanging="360"/>
      </w:pPr>
    </w:lvl>
    <w:lvl w:ilvl="7" w:tplc="158AD394" w:tentative="1">
      <w:start w:val="1"/>
      <w:numFmt w:val="decimal"/>
      <w:lvlText w:val="%8."/>
      <w:lvlJc w:val="left"/>
      <w:pPr>
        <w:tabs>
          <w:tab w:val="num" w:pos="5760"/>
        </w:tabs>
        <w:ind w:left="5760" w:hanging="360"/>
      </w:pPr>
    </w:lvl>
    <w:lvl w:ilvl="8" w:tplc="7076F86A" w:tentative="1">
      <w:start w:val="1"/>
      <w:numFmt w:val="decimal"/>
      <w:lvlText w:val="%9."/>
      <w:lvlJc w:val="left"/>
      <w:pPr>
        <w:tabs>
          <w:tab w:val="num" w:pos="6480"/>
        </w:tabs>
        <w:ind w:left="6480" w:hanging="360"/>
      </w:pPr>
    </w:lvl>
  </w:abstractNum>
  <w:abstractNum w:abstractNumId="14">
    <w:nsid w:val="602A6943"/>
    <w:multiLevelType w:val="hybridMultilevel"/>
    <w:tmpl w:val="16B68292"/>
    <w:lvl w:ilvl="0" w:tplc="A91E608E">
      <w:start w:val="1"/>
      <w:numFmt w:val="bullet"/>
      <w:lvlText w:val="•"/>
      <w:lvlJc w:val="left"/>
      <w:pPr>
        <w:tabs>
          <w:tab w:val="num" w:pos="720"/>
        </w:tabs>
        <w:ind w:left="720" w:hanging="360"/>
      </w:pPr>
      <w:rPr>
        <w:rFonts w:ascii="Times New Roman" w:hAnsi="Times New Roman" w:hint="default"/>
      </w:rPr>
    </w:lvl>
    <w:lvl w:ilvl="1" w:tplc="B17C82B4" w:tentative="1">
      <w:start w:val="1"/>
      <w:numFmt w:val="bullet"/>
      <w:lvlText w:val="•"/>
      <w:lvlJc w:val="left"/>
      <w:pPr>
        <w:tabs>
          <w:tab w:val="num" w:pos="1440"/>
        </w:tabs>
        <w:ind w:left="1440" w:hanging="360"/>
      </w:pPr>
      <w:rPr>
        <w:rFonts w:ascii="Times New Roman" w:hAnsi="Times New Roman" w:hint="default"/>
      </w:rPr>
    </w:lvl>
    <w:lvl w:ilvl="2" w:tplc="D7F686E4" w:tentative="1">
      <w:start w:val="1"/>
      <w:numFmt w:val="bullet"/>
      <w:lvlText w:val="•"/>
      <w:lvlJc w:val="left"/>
      <w:pPr>
        <w:tabs>
          <w:tab w:val="num" w:pos="2160"/>
        </w:tabs>
        <w:ind w:left="2160" w:hanging="360"/>
      </w:pPr>
      <w:rPr>
        <w:rFonts w:ascii="Times New Roman" w:hAnsi="Times New Roman" w:hint="default"/>
      </w:rPr>
    </w:lvl>
    <w:lvl w:ilvl="3" w:tplc="5F7A3054" w:tentative="1">
      <w:start w:val="1"/>
      <w:numFmt w:val="bullet"/>
      <w:lvlText w:val="•"/>
      <w:lvlJc w:val="left"/>
      <w:pPr>
        <w:tabs>
          <w:tab w:val="num" w:pos="2880"/>
        </w:tabs>
        <w:ind w:left="2880" w:hanging="360"/>
      </w:pPr>
      <w:rPr>
        <w:rFonts w:ascii="Times New Roman" w:hAnsi="Times New Roman" w:hint="default"/>
      </w:rPr>
    </w:lvl>
    <w:lvl w:ilvl="4" w:tplc="8CDA0E64" w:tentative="1">
      <w:start w:val="1"/>
      <w:numFmt w:val="bullet"/>
      <w:lvlText w:val="•"/>
      <w:lvlJc w:val="left"/>
      <w:pPr>
        <w:tabs>
          <w:tab w:val="num" w:pos="3600"/>
        </w:tabs>
        <w:ind w:left="3600" w:hanging="360"/>
      </w:pPr>
      <w:rPr>
        <w:rFonts w:ascii="Times New Roman" w:hAnsi="Times New Roman" w:hint="default"/>
      </w:rPr>
    </w:lvl>
    <w:lvl w:ilvl="5" w:tplc="4D8C537C" w:tentative="1">
      <w:start w:val="1"/>
      <w:numFmt w:val="bullet"/>
      <w:lvlText w:val="•"/>
      <w:lvlJc w:val="left"/>
      <w:pPr>
        <w:tabs>
          <w:tab w:val="num" w:pos="4320"/>
        </w:tabs>
        <w:ind w:left="4320" w:hanging="360"/>
      </w:pPr>
      <w:rPr>
        <w:rFonts w:ascii="Times New Roman" w:hAnsi="Times New Roman" w:hint="default"/>
      </w:rPr>
    </w:lvl>
    <w:lvl w:ilvl="6" w:tplc="4A82C034" w:tentative="1">
      <w:start w:val="1"/>
      <w:numFmt w:val="bullet"/>
      <w:lvlText w:val="•"/>
      <w:lvlJc w:val="left"/>
      <w:pPr>
        <w:tabs>
          <w:tab w:val="num" w:pos="5040"/>
        </w:tabs>
        <w:ind w:left="5040" w:hanging="360"/>
      </w:pPr>
      <w:rPr>
        <w:rFonts w:ascii="Times New Roman" w:hAnsi="Times New Roman" w:hint="default"/>
      </w:rPr>
    </w:lvl>
    <w:lvl w:ilvl="7" w:tplc="28466586" w:tentative="1">
      <w:start w:val="1"/>
      <w:numFmt w:val="bullet"/>
      <w:lvlText w:val="•"/>
      <w:lvlJc w:val="left"/>
      <w:pPr>
        <w:tabs>
          <w:tab w:val="num" w:pos="5760"/>
        </w:tabs>
        <w:ind w:left="5760" w:hanging="360"/>
      </w:pPr>
      <w:rPr>
        <w:rFonts w:ascii="Times New Roman" w:hAnsi="Times New Roman" w:hint="default"/>
      </w:rPr>
    </w:lvl>
    <w:lvl w:ilvl="8" w:tplc="22EAD1A4" w:tentative="1">
      <w:start w:val="1"/>
      <w:numFmt w:val="bullet"/>
      <w:lvlText w:val="•"/>
      <w:lvlJc w:val="left"/>
      <w:pPr>
        <w:tabs>
          <w:tab w:val="num" w:pos="6480"/>
        </w:tabs>
        <w:ind w:left="6480" w:hanging="360"/>
      </w:pPr>
      <w:rPr>
        <w:rFonts w:ascii="Times New Roman" w:hAnsi="Times New Roman" w:hint="default"/>
      </w:rPr>
    </w:lvl>
  </w:abstractNum>
  <w:abstractNum w:abstractNumId="15">
    <w:nsid w:val="64E73E9F"/>
    <w:multiLevelType w:val="multilevel"/>
    <w:tmpl w:val="1CA2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18249D3"/>
    <w:multiLevelType w:val="multilevel"/>
    <w:tmpl w:val="AF887F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77251074"/>
    <w:multiLevelType w:val="multilevel"/>
    <w:tmpl w:val="AA8686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779A3135"/>
    <w:multiLevelType w:val="hybridMultilevel"/>
    <w:tmpl w:val="524EF8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D7A0878"/>
    <w:multiLevelType w:val="hybridMultilevel"/>
    <w:tmpl w:val="30A6CB06"/>
    <w:lvl w:ilvl="0" w:tplc="44D86ACE">
      <w:start w:val="1"/>
      <w:numFmt w:val="decimal"/>
      <w:lvlText w:val="%1."/>
      <w:lvlJc w:val="left"/>
      <w:pPr>
        <w:tabs>
          <w:tab w:val="num" w:pos="720"/>
        </w:tabs>
        <w:ind w:left="720" w:hanging="360"/>
      </w:pPr>
    </w:lvl>
    <w:lvl w:ilvl="1" w:tplc="DF5A0626" w:tentative="1">
      <w:start w:val="1"/>
      <w:numFmt w:val="decimal"/>
      <w:lvlText w:val="%2."/>
      <w:lvlJc w:val="left"/>
      <w:pPr>
        <w:tabs>
          <w:tab w:val="num" w:pos="1440"/>
        </w:tabs>
        <w:ind w:left="1440" w:hanging="360"/>
      </w:pPr>
    </w:lvl>
    <w:lvl w:ilvl="2" w:tplc="1A1AC98C" w:tentative="1">
      <w:start w:val="1"/>
      <w:numFmt w:val="decimal"/>
      <w:lvlText w:val="%3."/>
      <w:lvlJc w:val="left"/>
      <w:pPr>
        <w:tabs>
          <w:tab w:val="num" w:pos="2160"/>
        </w:tabs>
        <w:ind w:left="2160" w:hanging="360"/>
      </w:pPr>
    </w:lvl>
    <w:lvl w:ilvl="3" w:tplc="A1A25ABA" w:tentative="1">
      <w:start w:val="1"/>
      <w:numFmt w:val="decimal"/>
      <w:lvlText w:val="%4."/>
      <w:lvlJc w:val="left"/>
      <w:pPr>
        <w:tabs>
          <w:tab w:val="num" w:pos="2880"/>
        </w:tabs>
        <w:ind w:left="2880" w:hanging="360"/>
      </w:pPr>
    </w:lvl>
    <w:lvl w:ilvl="4" w:tplc="03D093F8" w:tentative="1">
      <w:start w:val="1"/>
      <w:numFmt w:val="decimal"/>
      <w:lvlText w:val="%5."/>
      <w:lvlJc w:val="left"/>
      <w:pPr>
        <w:tabs>
          <w:tab w:val="num" w:pos="3600"/>
        </w:tabs>
        <w:ind w:left="3600" w:hanging="360"/>
      </w:pPr>
    </w:lvl>
    <w:lvl w:ilvl="5" w:tplc="0D2228E6" w:tentative="1">
      <w:start w:val="1"/>
      <w:numFmt w:val="decimal"/>
      <w:lvlText w:val="%6."/>
      <w:lvlJc w:val="left"/>
      <w:pPr>
        <w:tabs>
          <w:tab w:val="num" w:pos="4320"/>
        </w:tabs>
        <w:ind w:left="4320" w:hanging="360"/>
      </w:pPr>
    </w:lvl>
    <w:lvl w:ilvl="6" w:tplc="462C5944" w:tentative="1">
      <w:start w:val="1"/>
      <w:numFmt w:val="decimal"/>
      <w:lvlText w:val="%7."/>
      <w:lvlJc w:val="left"/>
      <w:pPr>
        <w:tabs>
          <w:tab w:val="num" w:pos="5040"/>
        </w:tabs>
        <w:ind w:left="5040" w:hanging="360"/>
      </w:pPr>
    </w:lvl>
    <w:lvl w:ilvl="7" w:tplc="DE806020" w:tentative="1">
      <w:start w:val="1"/>
      <w:numFmt w:val="decimal"/>
      <w:lvlText w:val="%8."/>
      <w:lvlJc w:val="left"/>
      <w:pPr>
        <w:tabs>
          <w:tab w:val="num" w:pos="5760"/>
        </w:tabs>
        <w:ind w:left="5760" w:hanging="360"/>
      </w:pPr>
    </w:lvl>
    <w:lvl w:ilvl="8" w:tplc="0B703D6A" w:tentative="1">
      <w:start w:val="1"/>
      <w:numFmt w:val="decimal"/>
      <w:lvlText w:val="%9."/>
      <w:lvlJc w:val="left"/>
      <w:pPr>
        <w:tabs>
          <w:tab w:val="num" w:pos="6480"/>
        </w:tabs>
        <w:ind w:left="6480" w:hanging="360"/>
      </w:pPr>
    </w:lvl>
  </w:abstractNum>
  <w:num w:numId="1">
    <w:abstractNumId w:val="2"/>
  </w:num>
  <w:num w:numId="2">
    <w:abstractNumId w:val="6"/>
  </w:num>
  <w:num w:numId="3">
    <w:abstractNumId w:val="10"/>
  </w:num>
  <w:num w:numId="4">
    <w:abstractNumId w:val="1"/>
  </w:num>
  <w:num w:numId="5">
    <w:abstractNumId w:val="15"/>
  </w:num>
  <w:num w:numId="6">
    <w:abstractNumId w:val="14"/>
  </w:num>
  <w:num w:numId="7">
    <w:abstractNumId w:val="11"/>
  </w:num>
  <w:num w:numId="8">
    <w:abstractNumId w:val="18"/>
  </w:num>
  <w:num w:numId="9">
    <w:abstractNumId w:val="4"/>
  </w:num>
  <w:num w:numId="10">
    <w:abstractNumId w:val="13"/>
  </w:num>
  <w:num w:numId="11">
    <w:abstractNumId w:val="8"/>
  </w:num>
  <w:num w:numId="12">
    <w:abstractNumId w:val="5"/>
  </w:num>
  <w:num w:numId="13">
    <w:abstractNumId w:val="17"/>
  </w:num>
  <w:num w:numId="14">
    <w:abstractNumId w:val="12"/>
  </w:num>
  <w:num w:numId="15">
    <w:abstractNumId w:val="3"/>
  </w:num>
  <w:num w:numId="16">
    <w:abstractNumId w:val="19"/>
  </w:num>
  <w:num w:numId="17">
    <w:abstractNumId w:val="0"/>
  </w:num>
  <w:num w:numId="18">
    <w:abstractNumId w:val="7"/>
  </w:num>
  <w:num w:numId="19">
    <w:abstractNumId w:val="16"/>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91491"/>
    <w:rsid w:val="00001BAE"/>
    <w:rsid w:val="00002823"/>
    <w:rsid w:val="000030AE"/>
    <w:rsid w:val="000059C7"/>
    <w:rsid w:val="000062C3"/>
    <w:rsid w:val="00006400"/>
    <w:rsid w:val="0000717C"/>
    <w:rsid w:val="000075E6"/>
    <w:rsid w:val="000130F1"/>
    <w:rsid w:val="00014081"/>
    <w:rsid w:val="000220E7"/>
    <w:rsid w:val="00022481"/>
    <w:rsid w:val="00031319"/>
    <w:rsid w:val="00033D3C"/>
    <w:rsid w:val="00034EC2"/>
    <w:rsid w:val="00037009"/>
    <w:rsid w:val="00040A25"/>
    <w:rsid w:val="00040E43"/>
    <w:rsid w:val="00050659"/>
    <w:rsid w:val="000536DF"/>
    <w:rsid w:val="00057AB4"/>
    <w:rsid w:val="00060DDA"/>
    <w:rsid w:val="0007183E"/>
    <w:rsid w:val="00077462"/>
    <w:rsid w:val="0008049A"/>
    <w:rsid w:val="00080602"/>
    <w:rsid w:val="000818AA"/>
    <w:rsid w:val="000912F3"/>
    <w:rsid w:val="000913DC"/>
    <w:rsid w:val="00092863"/>
    <w:rsid w:val="00092AF4"/>
    <w:rsid w:val="0009683F"/>
    <w:rsid w:val="0009692C"/>
    <w:rsid w:val="000A2E08"/>
    <w:rsid w:val="000A3613"/>
    <w:rsid w:val="000A4AD6"/>
    <w:rsid w:val="000B0701"/>
    <w:rsid w:val="000B44DB"/>
    <w:rsid w:val="000C4696"/>
    <w:rsid w:val="000C4F0F"/>
    <w:rsid w:val="000C559C"/>
    <w:rsid w:val="000C57FF"/>
    <w:rsid w:val="000C733C"/>
    <w:rsid w:val="000D08F6"/>
    <w:rsid w:val="000D5E11"/>
    <w:rsid w:val="000D6D39"/>
    <w:rsid w:val="000F406E"/>
    <w:rsid w:val="000F671F"/>
    <w:rsid w:val="00100A13"/>
    <w:rsid w:val="00100EB9"/>
    <w:rsid w:val="001041D1"/>
    <w:rsid w:val="00105B18"/>
    <w:rsid w:val="001108D4"/>
    <w:rsid w:val="00112097"/>
    <w:rsid w:val="0011503D"/>
    <w:rsid w:val="001158E8"/>
    <w:rsid w:val="00122C3D"/>
    <w:rsid w:val="00125B04"/>
    <w:rsid w:val="001358AA"/>
    <w:rsid w:val="00136FDA"/>
    <w:rsid w:val="00137EA6"/>
    <w:rsid w:val="00143B29"/>
    <w:rsid w:val="0014517D"/>
    <w:rsid w:val="00145B7A"/>
    <w:rsid w:val="00145E2C"/>
    <w:rsid w:val="00150A9B"/>
    <w:rsid w:val="00163279"/>
    <w:rsid w:val="00172C93"/>
    <w:rsid w:val="0017396A"/>
    <w:rsid w:val="001740DC"/>
    <w:rsid w:val="00180115"/>
    <w:rsid w:val="001805EC"/>
    <w:rsid w:val="00180A96"/>
    <w:rsid w:val="00181CA2"/>
    <w:rsid w:val="00185A1B"/>
    <w:rsid w:val="00186273"/>
    <w:rsid w:val="00186992"/>
    <w:rsid w:val="001877C3"/>
    <w:rsid w:val="00191259"/>
    <w:rsid w:val="00191CF4"/>
    <w:rsid w:val="00194F43"/>
    <w:rsid w:val="00196E2F"/>
    <w:rsid w:val="001A078D"/>
    <w:rsid w:val="001A2AB4"/>
    <w:rsid w:val="001A2E07"/>
    <w:rsid w:val="001A78A8"/>
    <w:rsid w:val="001B0CD1"/>
    <w:rsid w:val="001B111D"/>
    <w:rsid w:val="001B46AF"/>
    <w:rsid w:val="001B66AB"/>
    <w:rsid w:val="001C474A"/>
    <w:rsid w:val="001C596E"/>
    <w:rsid w:val="001C7B90"/>
    <w:rsid w:val="001D0A4C"/>
    <w:rsid w:val="001D7E63"/>
    <w:rsid w:val="001E018F"/>
    <w:rsid w:val="001E0EB2"/>
    <w:rsid w:val="001E3D5D"/>
    <w:rsid w:val="001F08E5"/>
    <w:rsid w:val="001F558B"/>
    <w:rsid w:val="001F73E6"/>
    <w:rsid w:val="00210180"/>
    <w:rsid w:val="0021023A"/>
    <w:rsid w:val="00210AF9"/>
    <w:rsid w:val="0021251E"/>
    <w:rsid w:val="00214B1B"/>
    <w:rsid w:val="00227358"/>
    <w:rsid w:val="00230691"/>
    <w:rsid w:val="00237143"/>
    <w:rsid w:val="0024137C"/>
    <w:rsid w:val="0024286F"/>
    <w:rsid w:val="002442DA"/>
    <w:rsid w:val="00245E39"/>
    <w:rsid w:val="0024665B"/>
    <w:rsid w:val="00247F6C"/>
    <w:rsid w:val="0025378B"/>
    <w:rsid w:val="00253907"/>
    <w:rsid w:val="00254884"/>
    <w:rsid w:val="002578B4"/>
    <w:rsid w:val="00265898"/>
    <w:rsid w:val="00266168"/>
    <w:rsid w:val="00272FFC"/>
    <w:rsid w:val="002731E6"/>
    <w:rsid w:val="00274827"/>
    <w:rsid w:val="00274EF6"/>
    <w:rsid w:val="00276011"/>
    <w:rsid w:val="00276B6D"/>
    <w:rsid w:val="00276D5B"/>
    <w:rsid w:val="00277081"/>
    <w:rsid w:val="00281258"/>
    <w:rsid w:val="00282DA0"/>
    <w:rsid w:val="00284B8D"/>
    <w:rsid w:val="0028563C"/>
    <w:rsid w:val="00287132"/>
    <w:rsid w:val="00291491"/>
    <w:rsid w:val="00293272"/>
    <w:rsid w:val="00294097"/>
    <w:rsid w:val="00294A28"/>
    <w:rsid w:val="00294C2C"/>
    <w:rsid w:val="00296425"/>
    <w:rsid w:val="002A43D8"/>
    <w:rsid w:val="002A5155"/>
    <w:rsid w:val="002A5A32"/>
    <w:rsid w:val="002C2F2A"/>
    <w:rsid w:val="002D19C4"/>
    <w:rsid w:val="002D2C01"/>
    <w:rsid w:val="002D68C1"/>
    <w:rsid w:val="002E000F"/>
    <w:rsid w:val="002E15C6"/>
    <w:rsid w:val="002E2B58"/>
    <w:rsid w:val="002E3DA2"/>
    <w:rsid w:val="002E4014"/>
    <w:rsid w:val="002E4081"/>
    <w:rsid w:val="002E4977"/>
    <w:rsid w:val="002E4FD3"/>
    <w:rsid w:val="002E64B5"/>
    <w:rsid w:val="002E6858"/>
    <w:rsid w:val="002E6905"/>
    <w:rsid w:val="002F3309"/>
    <w:rsid w:val="002F5CA0"/>
    <w:rsid w:val="002F7BB3"/>
    <w:rsid w:val="003002FA"/>
    <w:rsid w:val="00310742"/>
    <w:rsid w:val="00312CDF"/>
    <w:rsid w:val="00317523"/>
    <w:rsid w:val="00321757"/>
    <w:rsid w:val="00321E0C"/>
    <w:rsid w:val="00321FB5"/>
    <w:rsid w:val="0033194F"/>
    <w:rsid w:val="00332057"/>
    <w:rsid w:val="00333DFA"/>
    <w:rsid w:val="00337558"/>
    <w:rsid w:val="00341DF3"/>
    <w:rsid w:val="00342CCF"/>
    <w:rsid w:val="003454A8"/>
    <w:rsid w:val="003456E7"/>
    <w:rsid w:val="003515F8"/>
    <w:rsid w:val="0035193F"/>
    <w:rsid w:val="003565F8"/>
    <w:rsid w:val="0036098C"/>
    <w:rsid w:val="0037054C"/>
    <w:rsid w:val="003805F7"/>
    <w:rsid w:val="0038436A"/>
    <w:rsid w:val="003848B1"/>
    <w:rsid w:val="00384DB4"/>
    <w:rsid w:val="0038507C"/>
    <w:rsid w:val="003935A9"/>
    <w:rsid w:val="003972BE"/>
    <w:rsid w:val="003A0F6F"/>
    <w:rsid w:val="003A1655"/>
    <w:rsid w:val="003A2410"/>
    <w:rsid w:val="003A5CFF"/>
    <w:rsid w:val="003B1CE5"/>
    <w:rsid w:val="003B3494"/>
    <w:rsid w:val="003B3BF9"/>
    <w:rsid w:val="003C2B03"/>
    <w:rsid w:val="003C330D"/>
    <w:rsid w:val="003C3B15"/>
    <w:rsid w:val="003D1A1E"/>
    <w:rsid w:val="003D3088"/>
    <w:rsid w:val="003E0452"/>
    <w:rsid w:val="003E2B20"/>
    <w:rsid w:val="003E65A5"/>
    <w:rsid w:val="003F0FC7"/>
    <w:rsid w:val="003F1460"/>
    <w:rsid w:val="003F381B"/>
    <w:rsid w:val="00402064"/>
    <w:rsid w:val="0040234B"/>
    <w:rsid w:val="004028B5"/>
    <w:rsid w:val="0040768D"/>
    <w:rsid w:val="00410DAB"/>
    <w:rsid w:val="00414B0D"/>
    <w:rsid w:val="0042720C"/>
    <w:rsid w:val="0043088B"/>
    <w:rsid w:val="00445AC2"/>
    <w:rsid w:val="00450C82"/>
    <w:rsid w:val="00451516"/>
    <w:rsid w:val="0045261F"/>
    <w:rsid w:val="00454768"/>
    <w:rsid w:val="00454B34"/>
    <w:rsid w:val="00454FF9"/>
    <w:rsid w:val="00457677"/>
    <w:rsid w:val="004579BC"/>
    <w:rsid w:val="00457F43"/>
    <w:rsid w:val="004618A4"/>
    <w:rsid w:val="00461DE6"/>
    <w:rsid w:val="00463291"/>
    <w:rsid w:val="00467C8B"/>
    <w:rsid w:val="00471B07"/>
    <w:rsid w:val="00473828"/>
    <w:rsid w:val="00475089"/>
    <w:rsid w:val="004804FA"/>
    <w:rsid w:val="00483866"/>
    <w:rsid w:val="00485F7E"/>
    <w:rsid w:val="00486B21"/>
    <w:rsid w:val="00492ABD"/>
    <w:rsid w:val="00494F3F"/>
    <w:rsid w:val="004A16E5"/>
    <w:rsid w:val="004A1E01"/>
    <w:rsid w:val="004A2711"/>
    <w:rsid w:val="004A5E87"/>
    <w:rsid w:val="004B1928"/>
    <w:rsid w:val="004B64F2"/>
    <w:rsid w:val="004C0596"/>
    <w:rsid w:val="004C1AE2"/>
    <w:rsid w:val="004C27EB"/>
    <w:rsid w:val="004C2CFF"/>
    <w:rsid w:val="004C602B"/>
    <w:rsid w:val="004D09B2"/>
    <w:rsid w:val="004D27B7"/>
    <w:rsid w:val="004D6E9B"/>
    <w:rsid w:val="004E1E95"/>
    <w:rsid w:val="004E3617"/>
    <w:rsid w:val="004E36AE"/>
    <w:rsid w:val="004E3B02"/>
    <w:rsid w:val="004E6FA1"/>
    <w:rsid w:val="004F00B3"/>
    <w:rsid w:val="004F1306"/>
    <w:rsid w:val="004F6A96"/>
    <w:rsid w:val="004F7CDB"/>
    <w:rsid w:val="00502607"/>
    <w:rsid w:val="0050424F"/>
    <w:rsid w:val="00504ADC"/>
    <w:rsid w:val="0051129F"/>
    <w:rsid w:val="00513DBF"/>
    <w:rsid w:val="00513EBA"/>
    <w:rsid w:val="005140FD"/>
    <w:rsid w:val="00516D3A"/>
    <w:rsid w:val="0052004C"/>
    <w:rsid w:val="00525252"/>
    <w:rsid w:val="00526F4F"/>
    <w:rsid w:val="00530647"/>
    <w:rsid w:val="0054021F"/>
    <w:rsid w:val="00540C2B"/>
    <w:rsid w:val="00542D88"/>
    <w:rsid w:val="005443B2"/>
    <w:rsid w:val="00545A36"/>
    <w:rsid w:val="005637E5"/>
    <w:rsid w:val="00564879"/>
    <w:rsid w:val="00565DE0"/>
    <w:rsid w:val="005676E0"/>
    <w:rsid w:val="005706C5"/>
    <w:rsid w:val="005709E1"/>
    <w:rsid w:val="00570DAB"/>
    <w:rsid w:val="0057146C"/>
    <w:rsid w:val="0057176F"/>
    <w:rsid w:val="005729B6"/>
    <w:rsid w:val="0057309E"/>
    <w:rsid w:val="00574FF9"/>
    <w:rsid w:val="00575492"/>
    <w:rsid w:val="005772C2"/>
    <w:rsid w:val="005814F6"/>
    <w:rsid w:val="0058268E"/>
    <w:rsid w:val="00583625"/>
    <w:rsid w:val="005849C0"/>
    <w:rsid w:val="005873E6"/>
    <w:rsid w:val="00587A31"/>
    <w:rsid w:val="00590B6C"/>
    <w:rsid w:val="00590BAA"/>
    <w:rsid w:val="0059501E"/>
    <w:rsid w:val="005A0491"/>
    <w:rsid w:val="005A0F0A"/>
    <w:rsid w:val="005A167D"/>
    <w:rsid w:val="005A3232"/>
    <w:rsid w:val="005A3246"/>
    <w:rsid w:val="005A4270"/>
    <w:rsid w:val="005A481B"/>
    <w:rsid w:val="005A4964"/>
    <w:rsid w:val="005B3FD7"/>
    <w:rsid w:val="005B6AFF"/>
    <w:rsid w:val="005C24F6"/>
    <w:rsid w:val="005C3AF5"/>
    <w:rsid w:val="005C6799"/>
    <w:rsid w:val="005D06A8"/>
    <w:rsid w:val="005D1DE8"/>
    <w:rsid w:val="005D2D3C"/>
    <w:rsid w:val="005D5A29"/>
    <w:rsid w:val="005D7D6A"/>
    <w:rsid w:val="005E0FB4"/>
    <w:rsid w:val="005E2C24"/>
    <w:rsid w:val="005E3507"/>
    <w:rsid w:val="005E627C"/>
    <w:rsid w:val="005F0E35"/>
    <w:rsid w:val="005F1B2C"/>
    <w:rsid w:val="005F1CAD"/>
    <w:rsid w:val="005F26BF"/>
    <w:rsid w:val="005F2BE8"/>
    <w:rsid w:val="005F4CC5"/>
    <w:rsid w:val="005F7208"/>
    <w:rsid w:val="00605B4D"/>
    <w:rsid w:val="0060747F"/>
    <w:rsid w:val="00610F2C"/>
    <w:rsid w:val="006120E4"/>
    <w:rsid w:val="00613DFD"/>
    <w:rsid w:val="0061409B"/>
    <w:rsid w:val="0061482A"/>
    <w:rsid w:val="00625FDD"/>
    <w:rsid w:val="00631781"/>
    <w:rsid w:val="00631E5A"/>
    <w:rsid w:val="006369D9"/>
    <w:rsid w:val="00640537"/>
    <w:rsid w:val="00642FC4"/>
    <w:rsid w:val="00645F7E"/>
    <w:rsid w:val="00646395"/>
    <w:rsid w:val="0064716C"/>
    <w:rsid w:val="0065750F"/>
    <w:rsid w:val="00665269"/>
    <w:rsid w:val="0067061C"/>
    <w:rsid w:val="0067293E"/>
    <w:rsid w:val="00672A1E"/>
    <w:rsid w:val="00672B32"/>
    <w:rsid w:val="0067681D"/>
    <w:rsid w:val="00676888"/>
    <w:rsid w:val="0068052B"/>
    <w:rsid w:val="0068083A"/>
    <w:rsid w:val="00680F0E"/>
    <w:rsid w:val="006843CF"/>
    <w:rsid w:val="00685BB7"/>
    <w:rsid w:val="00685D1D"/>
    <w:rsid w:val="00686267"/>
    <w:rsid w:val="006873FD"/>
    <w:rsid w:val="006877F6"/>
    <w:rsid w:val="00695BC0"/>
    <w:rsid w:val="006A1347"/>
    <w:rsid w:val="006A2F24"/>
    <w:rsid w:val="006A48C8"/>
    <w:rsid w:val="006B15AD"/>
    <w:rsid w:val="006B334C"/>
    <w:rsid w:val="006B40D2"/>
    <w:rsid w:val="006B57B1"/>
    <w:rsid w:val="006B6998"/>
    <w:rsid w:val="006C1EE6"/>
    <w:rsid w:val="006C361F"/>
    <w:rsid w:val="006C657E"/>
    <w:rsid w:val="006D2754"/>
    <w:rsid w:val="006F0F2F"/>
    <w:rsid w:val="006F1640"/>
    <w:rsid w:val="006F2210"/>
    <w:rsid w:val="006F4098"/>
    <w:rsid w:val="006F7BD9"/>
    <w:rsid w:val="00700152"/>
    <w:rsid w:val="007005EB"/>
    <w:rsid w:val="00703712"/>
    <w:rsid w:val="00704F77"/>
    <w:rsid w:val="007061A0"/>
    <w:rsid w:val="00706576"/>
    <w:rsid w:val="00710970"/>
    <w:rsid w:val="007134AC"/>
    <w:rsid w:val="00715B64"/>
    <w:rsid w:val="00716A13"/>
    <w:rsid w:val="0072238F"/>
    <w:rsid w:val="00723765"/>
    <w:rsid w:val="00732B82"/>
    <w:rsid w:val="007437DC"/>
    <w:rsid w:val="00746AF0"/>
    <w:rsid w:val="00753063"/>
    <w:rsid w:val="007600F5"/>
    <w:rsid w:val="00760C44"/>
    <w:rsid w:val="007618C8"/>
    <w:rsid w:val="0076221A"/>
    <w:rsid w:val="00764931"/>
    <w:rsid w:val="00766633"/>
    <w:rsid w:val="00770F67"/>
    <w:rsid w:val="0077323B"/>
    <w:rsid w:val="0077444D"/>
    <w:rsid w:val="007760E0"/>
    <w:rsid w:val="0078087F"/>
    <w:rsid w:val="0078758B"/>
    <w:rsid w:val="007942DC"/>
    <w:rsid w:val="007964CD"/>
    <w:rsid w:val="007A0203"/>
    <w:rsid w:val="007A1907"/>
    <w:rsid w:val="007A338C"/>
    <w:rsid w:val="007A351B"/>
    <w:rsid w:val="007B2CB4"/>
    <w:rsid w:val="007C2496"/>
    <w:rsid w:val="007C5231"/>
    <w:rsid w:val="007C52AE"/>
    <w:rsid w:val="007C70BE"/>
    <w:rsid w:val="007C79A0"/>
    <w:rsid w:val="007C7A34"/>
    <w:rsid w:val="007D24FE"/>
    <w:rsid w:val="007D3791"/>
    <w:rsid w:val="007D41EE"/>
    <w:rsid w:val="007E33FD"/>
    <w:rsid w:val="007E5566"/>
    <w:rsid w:val="007E684D"/>
    <w:rsid w:val="007F21DE"/>
    <w:rsid w:val="007F22DE"/>
    <w:rsid w:val="007F391F"/>
    <w:rsid w:val="007F48AA"/>
    <w:rsid w:val="007F716F"/>
    <w:rsid w:val="00800D8A"/>
    <w:rsid w:val="00810396"/>
    <w:rsid w:val="0081702B"/>
    <w:rsid w:val="008171A1"/>
    <w:rsid w:val="0081762E"/>
    <w:rsid w:val="00820956"/>
    <w:rsid w:val="0082271D"/>
    <w:rsid w:val="0082317E"/>
    <w:rsid w:val="00831C57"/>
    <w:rsid w:val="00832BA2"/>
    <w:rsid w:val="00837AD1"/>
    <w:rsid w:val="00840424"/>
    <w:rsid w:val="008431BB"/>
    <w:rsid w:val="008505D7"/>
    <w:rsid w:val="00851153"/>
    <w:rsid w:val="00853ECC"/>
    <w:rsid w:val="00854036"/>
    <w:rsid w:val="008578A0"/>
    <w:rsid w:val="0086275F"/>
    <w:rsid w:val="00865555"/>
    <w:rsid w:val="00866538"/>
    <w:rsid w:val="00872A00"/>
    <w:rsid w:val="00873298"/>
    <w:rsid w:val="00874ED2"/>
    <w:rsid w:val="00875776"/>
    <w:rsid w:val="00876136"/>
    <w:rsid w:val="00880022"/>
    <w:rsid w:val="00880A16"/>
    <w:rsid w:val="00882863"/>
    <w:rsid w:val="008862B5"/>
    <w:rsid w:val="00887400"/>
    <w:rsid w:val="0089286E"/>
    <w:rsid w:val="008972B0"/>
    <w:rsid w:val="008A675B"/>
    <w:rsid w:val="008B110D"/>
    <w:rsid w:val="008B270F"/>
    <w:rsid w:val="008B32D7"/>
    <w:rsid w:val="008B49C2"/>
    <w:rsid w:val="008B616C"/>
    <w:rsid w:val="008B787D"/>
    <w:rsid w:val="008C0B72"/>
    <w:rsid w:val="008C0DFE"/>
    <w:rsid w:val="008C2D9E"/>
    <w:rsid w:val="008C38DD"/>
    <w:rsid w:val="008D1E41"/>
    <w:rsid w:val="008D34F1"/>
    <w:rsid w:val="008D3818"/>
    <w:rsid w:val="008D57CA"/>
    <w:rsid w:val="008D7BC6"/>
    <w:rsid w:val="008E0081"/>
    <w:rsid w:val="008E0668"/>
    <w:rsid w:val="008E304C"/>
    <w:rsid w:val="008E3765"/>
    <w:rsid w:val="008E4B2F"/>
    <w:rsid w:val="008E500E"/>
    <w:rsid w:val="008E7A11"/>
    <w:rsid w:val="008F0F05"/>
    <w:rsid w:val="008F23A1"/>
    <w:rsid w:val="008F290A"/>
    <w:rsid w:val="008F4C31"/>
    <w:rsid w:val="008F61E6"/>
    <w:rsid w:val="008F7EF8"/>
    <w:rsid w:val="00913D7D"/>
    <w:rsid w:val="00914A46"/>
    <w:rsid w:val="0091696E"/>
    <w:rsid w:val="00917249"/>
    <w:rsid w:val="009268A5"/>
    <w:rsid w:val="0092704C"/>
    <w:rsid w:val="00930735"/>
    <w:rsid w:val="00930EF7"/>
    <w:rsid w:val="00931B7E"/>
    <w:rsid w:val="00934369"/>
    <w:rsid w:val="00934557"/>
    <w:rsid w:val="00934790"/>
    <w:rsid w:val="00935069"/>
    <w:rsid w:val="009371C7"/>
    <w:rsid w:val="00941B55"/>
    <w:rsid w:val="009420AD"/>
    <w:rsid w:val="0094365C"/>
    <w:rsid w:val="009441AB"/>
    <w:rsid w:val="00946419"/>
    <w:rsid w:val="0095099F"/>
    <w:rsid w:val="0095191A"/>
    <w:rsid w:val="00952247"/>
    <w:rsid w:val="00952C7B"/>
    <w:rsid w:val="00953CDC"/>
    <w:rsid w:val="00955010"/>
    <w:rsid w:val="0095606B"/>
    <w:rsid w:val="00962669"/>
    <w:rsid w:val="009626FC"/>
    <w:rsid w:val="0096286B"/>
    <w:rsid w:val="00962EF3"/>
    <w:rsid w:val="00974AD5"/>
    <w:rsid w:val="00985E6D"/>
    <w:rsid w:val="00990860"/>
    <w:rsid w:val="009922C2"/>
    <w:rsid w:val="009927F7"/>
    <w:rsid w:val="009928A1"/>
    <w:rsid w:val="009A300D"/>
    <w:rsid w:val="009A6051"/>
    <w:rsid w:val="009B4994"/>
    <w:rsid w:val="009B7F96"/>
    <w:rsid w:val="009C33B6"/>
    <w:rsid w:val="009C3D77"/>
    <w:rsid w:val="009C434E"/>
    <w:rsid w:val="009C5739"/>
    <w:rsid w:val="009C60C1"/>
    <w:rsid w:val="009C676E"/>
    <w:rsid w:val="009D0C01"/>
    <w:rsid w:val="009D24AF"/>
    <w:rsid w:val="009D6960"/>
    <w:rsid w:val="009E02D8"/>
    <w:rsid w:val="009E25D3"/>
    <w:rsid w:val="009E4343"/>
    <w:rsid w:val="009E4F63"/>
    <w:rsid w:val="009E57E0"/>
    <w:rsid w:val="009E66BD"/>
    <w:rsid w:val="009F0E2A"/>
    <w:rsid w:val="009F382C"/>
    <w:rsid w:val="009F6984"/>
    <w:rsid w:val="00A035E2"/>
    <w:rsid w:val="00A0694F"/>
    <w:rsid w:val="00A077BE"/>
    <w:rsid w:val="00A10736"/>
    <w:rsid w:val="00A16219"/>
    <w:rsid w:val="00A21D02"/>
    <w:rsid w:val="00A22986"/>
    <w:rsid w:val="00A276D0"/>
    <w:rsid w:val="00A30B02"/>
    <w:rsid w:val="00A321A5"/>
    <w:rsid w:val="00A3396F"/>
    <w:rsid w:val="00A34F38"/>
    <w:rsid w:val="00A371B7"/>
    <w:rsid w:val="00A4197C"/>
    <w:rsid w:val="00A41BEC"/>
    <w:rsid w:val="00A438D4"/>
    <w:rsid w:val="00A44AB5"/>
    <w:rsid w:val="00A44BEE"/>
    <w:rsid w:val="00A53BCF"/>
    <w:rsid w:val="00A5435C"/>
    <w:rsid w:val="00A5573A"/>
    <w:rsid w:val="00A56362"/>
    <w:rsid w:val="00A61E51"/>
    <w:rsid w:val="00A65713"/>
    <w:rsid w:val="00A70637"/>
    <w:rsid w:val="00A70C28"/>
    <w:rsid w:val="00A7111C"/>
    <w:rsid w:val="00A73F8F"/>
    <w:rsid w:val="00A74433"/>
    <w:rsid w:val="00A776DE"/>
    <w:rsid w:val="00A80BA6"/>
    <w:rsid w:val="00A82CDE"/>
    <w:rsid w:val="00A837B8"/>
    <w:rsid w:val="00A86CFD"/>
    <w:rsid w:val="00A90A0E"/>
    <w:rsid w:val="00A93507"/>
    <w:rsid w:val="00A93ECA"/>
    <w:rsid w:val="00A951D3"/>
    <w:rsid w:val="00A96D3C"/>
    <w:rsid w:val="00AA0851"/>
    <w:rsid w:val="00AB0B6E"/>
    <w:rsid w:val="00AB1D67"/>
    <w:rsid w:val="00AC3D3A"/>
    <w:rsid w:val="00AD19C0"/>
    <w:rsid w:val="00AD1A96"/>
    <w:rsid w:val="00AD6CB8"/>
    <w:rsid w:val="00AD6FD8"/>
    <w:rsid w:val="00AE2E8A"/>
    <w:rsid w:val="00AE7876"/>
    <w:rsid w:val="00AF66EF"/>
    <w:rsid w:val="00B003C6"/>
    <w:rsid w:val="00B00F60"/>
    <w:rsid w:val="00B022C6"/>
    <w:rsid w:val="00B04A7E"/>
    <w:rsid w:val="00B110EE"/>
    <w:rsid w:val="00B152A3"/>
    <w:rsid w:val="00B157DF"/>
    <w:rsid w:val="00B159CC"/>
    <w:rsid w:val="00B17104"/>
    <w:rsid w:val="00B244FE"/>
    <w:rsid w:val="00B255A9"/>
    <w:rsid w:val="00B25BF8"/>
    <w:rsid w:val="00B27239"/>
    <w:rsid w:val="00B37DF4"/>
    <w:rsid w:val="00B45139"/>
    <w:rsid w:val="00B50A16"/>
    <w:rsid w:val="00B51D73"/>
    <w:rsid w:val="00B521C2"/>
    <w:rsid w:val="00B525B4"/>
    <w:rsid w:val="00B54109"/>
    <w:rsid w:val="00B61930"/>
    <w:rsid w:val="00B669FC"/>
    <w:rsid w:val="00B72143"/>
    <w:rsid w:val="00B757CB"/>
    <w:rsid w:val="00B76167"/>
    <w:rsid w:val="00B90A13"/>
    <w:rsid w:val="00B96678"/>
    <w:rsid w:val="00B97C12"/>
    <w:rsid w:val="00BA0209"/>
    <w:rsid w:val="00BA34AD"/>
    <w:rsid w:val="00BA366F"/>
    <w:rsid w:val="00BA7752"/>
    <w:rsid w:val="00BA7B21"/>
    <w:rsid w:val="00BB6516"/>
    <w:rsid w:val="00BB71C6"/>
    <w:rsid w:val="00BB7CF9"/>
    <w:rsid w:val="00BC0288"/>
    <w:rsid w:val="00BC1A4A"/>
    <w:rsid w:val="00BC3346"/>
    <w:rsid w:val="00BC434D"/>
    <w:rsid w:val="00BD1926"/>
    <w:rsid w:val="00BD27D7"/>
    <w:rsid w:val="00BD3A61"/>
    <w:rsid w:val="00BD4AD9"/>
    <w:rsid w:val="00BD4F37"/>
    <w:rsid w:val="00BD6274"/>
    <w:rsid w:val="00BD6CF2"/>
    <w:rsid w:val="00BE09BB"/>
    <w:rsid w:val="00BE2CA0"/>
    <w:rsid w:val="00BE51CE"/>
    <w:rsid w:val="00BE6DDD"/>
    <w:rsid w:val="00BF10FC"/>
    <w:rsid w:val="00BF34D8"/>
    <w:rsid w:val="00BF5176"/>
    <w:rsid w:val="00BF5268"/>
    <w:rsid w:val="00BF627A"/>
    <w:rsid w:val="00C00266"/>
    <w:rsid w:val="00C02CEB"/>
    <w:rsid w:val="00C11B00"/>
    <w:rsid w:val="00C12D36"/>
    <w:rsid w:val="00C16383"/>
    <w:rsid w:val="00C177BB"/>
    <w:rsid w:val="00C230CF"/>
    <w:rsid w:val="00C24CD3"/>
    <w:rsid w:val="00C27353"/>
    <w:rsid w:val="00C344D2"/>
    <w:rsid w:val="00C34A1C"/>
    <w:rsid w:val="00C4166F"/>
    <w:rsid w:val="00C42E29"/>
    <w:rsid w:val="00C437E6"/>
    <w:rsid w:val="00C50F06"/>
    <w:rsid w:val="00C522A9"/>
    <w:rsid w:val="00C546D3"/>
    <w:rsid w:val="00C62511"/>
    <w:rsid w:val="00C65026"/>
    <w:rsid w:val="00C65DD8"/>
    <w:rsid w:val="00C67744"/>
    <w:rsid w:val="00C707CC"/>
    <w:rsid w:val="00C71856"/>
    <w:rsid w:val="00C72638"/>
    <w:rsid w:val="00C76156"/>
    <w:rsid w:val="00C76A29"/>
    <w:rsid w:val="00C80380"/>
    <w:rsid w:val="00C828E7"/>
    <w:rsid w:val="00C84B20"/>
    <w:rsid w:val="00C8539D"/>
    <w:rsid w:val="00C87391"/>
    <w:rsid w:val="00C92289"/>
    <w:rsid w:val="00C92F22"/>
    <w:rsid w:val="00C95F59"/>
    <w:rsid w:val="00C96378"/>
    <w:rsid w:val="00C9703D"/>
    <w:rsid w:val="00C97469"/>
    <w:rsid w:val="00CA57D3"/>
    <w:rsid w:val="00CB25B7"/>
    <w:rsid w:val="00CB747E"/>
    <w:rsid w:val="00CB7B16"/>
    <w:rsid w:val="00CC0088"/>
    <w:rsid w:val="00CD12F9"/>
    <w:rsid w:val="00CD150B"/>
    <w:rsid w:val="00CD59E4"/>
    <w:rsid w:val="00CD7CA0"/>
    <w:rsid w:val="00CE1674"/>
    <w:rsid w:val="00CE3332"/>
    <w:rsid w:val="00CE7513"/>
    <w:rsid w:val="00CE7EA9"/>
    <w:rsid w:val="00CF0D52"/>
    <w:rsid w:val="00CF0E85"/>
    <w:rsid w:val="00CF3BA3"/>
    <w:rsid w:val="00CF427C"/>
    <w:rsid w:val="00CF5F76"/>
    <w:rsid w:val="00D0127E"/>
    <w:rsid w:val="00D01C63"/>
    <w:rsid w:val="00D03854"/>
    <w:rsid w:val="00D03B2B"/>
    <w:rsid w:val="00D05ABD"/>
    <w:rsid w:val="00D16B87"/>
    <w:rsid w:val="00D2483D"/>
    <w:rsid w:val="00D30885"/>
    <w:rsid w:val="00D332AA"/>
    <w:rsid w:val="00D374C5"/>
    <w:rsid w:val="00D412C3"/>
    <w:rsid w:val="00D431F9"/>
    <w:rsid w:val="00D45006"/>
    <w:rsid w:val="00D50F9E"/>
    <w:rsid w:val="00D54741"/>
    <w:rsid w:val="00D55824"/>
    <w:rsid w:val="00D574A2"/>
    <w:rsid w:val="00D578D0"/>
    <w:rsid w:val="00D579EC"/>
    <w:rsid w:val="00D62170"/>
    <w:rsid w:val="00D7002A"/>
    <w:rsid w:val="00D70562"/>
    <w:rsid w:val="00D71029"/>
    <w:rsid w:val="00D75E78"/>
    <w:rsid w:val="00D85177"/>
    <w:rsid w:val="00D857B7"/>
    <w:rsid w:val="00D85D04"/>
    <w:rsid w:val="00D91198"/>
    <w:rsid w:val="00D94037"/>
    <w:rsid w:val="00D97DB7"/>
    <w:rsid w:val="00D97F6F"/>
    <w:rsid w:val="00DA08ED"/>
    <w:rsid w:val="00DA159D"/>
    <w:rsid w:val="00DA3E35"/>
    <w:rsid w:val="00DA3EA1"/>
    <w:rsid w:val="00DA5809"/>
    <w:rsid w:val="00DB1D57"/>
    <w:rsid w:val="00DB6261"/>
    <w:rsid w:val="00DC1493"/>
    <w:rsid w:val="00DD3538"/>
    <w:rsid w:val="00DD400A"/>
    <w:rsid w:val="00DE016C"/>
    <w:rsid w:val="00DE2A47"/>
    <w:rsid w:val="00DE5F31"/>
    <w:rsid w:val="00DE6EC2"/>
    <w:rsid w:val="00E06C79"/>
    <w:rsid w:val="00E123C0"/>
    <w:rsid w:val="00E12F46"/>
    <w:rsid w:val="00E14293"/>
    <w:rsid w:val="00E161E6"/>
    <w:rsid w:val="00E17722"/>
    <w:rsid w:val="00E17E26"/>
    <w:rsid w:val="00E24CA6"/>
    <w:rsid w:val="00E26603"/>
    <w:rsid w:val="00E300DF"/>
    <w:rsid w:val="00E3128F"/>
    <w:rsid w:val="00E33E1E"/>
    <w:rsid w:val="00E37250"/>
    <w:rsid w:val="00E41E81"/>
    <w:rsid w:val="00E42CB5"/>
    <w:rsid w:val="00E4534C"/>
    <w:rsid w:val="00E50728"/>
    <w:rsid w:val="00E50AB1"/>
    <w:rsid w:val="00E518A5"/>
    <w:rsid w:val="00E51ED5"/>
    <w:rsid w:val="00E52692"/>
    <w:rsid w:val="00E5352D"/>
    <w:rsid w:val="00E5650E"/>
    <w:rsid w:val="00E5673E"/>
    <w:rsid w:val="00E57574"/>
    <w:rsid w:val="00E62B10"/>
    <w:rsid w:val="00E64114"/>
    <w:rsid w:val="00E65AB1"/>
    <w:rsid w:val="00E665B5"/>
    <w:rsid w:val="00E6769C"/>
    <w:rsid w:val="00E708DF"/>
    <w:rsid w:val="00E72ED1"/>
    <w:rsid w:val="00E72EFC"/>
    <w:rsid w:val="00E734E0"/>
    <w:rsid w:val="00E743F8"/>
    <w:rsid w:val="00E77345"/>
    <w:rsid w:val="00E81D05"/>
    <w:rsid w:val="00E82DDA"/>
    <w:rsid w:val="00E852D8"/>
    <w:rsid w:val="00E90621"/>
    <w:rsid w:val="00E92008"/>
    <w:rsid w:val="00E94015"/>
    <w:rsid w:val="00E948BB"/>
    <w:rsid w:val="00E966A1"/>
    <w:rsid w:val="00EA05A1"/>
    <w:rsid w:val="00EA397A"/>
    <w:rsid w:val="00EB2659"/>
    <w:rsid w:val="00EB57DC"/>
    <w:rsid w:val="00EB702A"/>
    <w:rsid w:val="00EB7BE7"/>
    <w:rsid w:val="00EC141F"/>
    <w:rsid w:val="00EC1575"/>
    <w:rsid w:val="00EC5361"/>
    <w:rsid w:val="00EC58B9"/>
    <w:rsid w:val="00EC6A98"/>
    <w:rsid w:val="00EC6C66"/>
    <w:rsid w:val="00EC71FD"/>
    <w:rsid w:val="00EC7E4D"/>
    <w:rsid w:val="00EE13F2"/>
    <w:rsid w:val="00EE1969"/>
    <w:rsid w:val="00EE2682"/>
    <w:rsid w:val="00EF28A1"/>
    <w:rsid w:val="00EF2FC8"/>
    <w:rsid w:val="00EF33AF"/>
    <w:rsid w:val="00EF77DE"/>
    <w:rsid w:val="00F0037E"/>
    <w:rsid w:val="00F01556"/>
    <w:rsid w:val="00F01C57"/>
    <w:rsid w:val="00F15EF0"/>
    <w:rsid w:val="00F17EDE"/>
    <w:rsid w:val="00F258C7"/>
    <w:rsid w:val="00F30971"/>
    <w:rsid w:val="00F36F67"/>
    <w:rsid w:val="00F37B1A"/>
    <w:rsid w:val="00F42903"/>
    <w:rsid w:val="00F53BF0"/>
    <w:rsid w:val="00F55998"/>
    <w:rsid w:val="00F567AD"/>
    <w:rsid w:val="00F57BD3"/>
    <w:rsid w:val="00F606B6"/>
    <w:rsid w:val="00F61424"/>
    <w:rsid w:val="00F6188A"/>
    <w:rsid w:val="00F63420"/>
    <w:rsid w:val="00F63A9A"/>
    <w:rsid w:val="00F70032"/>
    <w:rsid w:val="00F710F2"/>
    <w:rsid w:val="00F7466E"/>
    <w:rsid w:val="00F7702E"/>
    <w:rsid w:val="00F776BD"/>
    <w:rsid w:val="00F77ED3"/>
    <w:rsid w:val="00F8327C"/>
    <w:rsid w:val="00F84EBE"/>
    <w:rsid w:val="00F851D4"/>
    <w:rsid w:val="00F85279"/>
    <w:rsid w:val="00F8535E"/>
    <w:rsid w:val="00F867AE"/>
    <w:rsid w:val="00F900FB"/>
    <w:rsid w:val="00F96496"/>
    <w:rsid w:val="00FA1E76"/>
    <w:rsid w:val="00FA4527"/>
    <w:rsid w:val="00FA4AEB"/>
    <w:rsid w:val="00FB1819"/>
    <w:rsid w:val="00FB5074"/>
    <w:rsid w:val="00FC0AF0"/>
    <w:rsid w:val="00FC1242"/>
    <w:rsid w:val="00FC6883"/>
    <w:rsid w:val="00FD22AF"/>
    <w:rsid w:val="00FD35A6"/>
    <w:rsid w:val="00FD3B88"/>
    <w:rsid w:val="00FD3DC9"/>
    <w:rsid w:val="00FD5F2B"/>
    <w:rsid w:val="00FD66A0"/>
    <w:rsid w:val="00FE1166"/>
    <w:rsid w:val="00FE148F"/>
    <w:rsid w:val="00FE2EF8"/>
    <w:rsid w:val="00FE2FA4"/>
    <w:rsid w:val="00FE5677"/>
    <w:rsid w:val="00FE6935"/>
    <w:rsid w:val="00FE77BA"/>
    <w:rsid w:val="00FE7F06"/>
    <w:rsid w:val="00FF0C1A"/>
    <w:rsid w:val="00FF0F92"/>
    <w:rsid w:val="00FF3249"/>
    <w:rsid w:val="00FF49BC"/>
    <w:rsid w:val="00FF4BA0"/>
    <w:rsid w:val="00FF5A58"/>
    <w:rsid w:val="00FF5C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790"/>
  </w:style>
  <w:style w:type="paragraph" w:styleId="Heading1">
    <w:name w:val="heading 1"/>
    <w:basedOn w:val="Normal"/>
    <w:next w:val="Normal"/>
    <w:link w:val="Heading1Char"/>
    <w:uiPriority w:val="9"/>
    <w:qFormat/>
    <w:rsid w:val="006140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1409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1409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F61E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33755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646395"/>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7760E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46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317523"/>
    <w:rPr>
      <w:sz w:val="16"/>
      <w:szCs w:val="16"/>
    </w:rPr>
  </w:style>
  <w:style w:type="paragraph" w:styleId="CommentText">
    <w:name w:val="annotation text"/>
    <w:basedOn w:val="Normal"/>
    <w:link w:val="CommentTextChar"/>
    <w:uiPriority w:val="99"/>
    <w:semiHidden/>
    <w:unhideWhenUsed/>
    <w:rsid w:val="00317523"/>
    <w:pPr>
      <w:spacing w:line="240" w:lineRule="auto"/>
    </w:pPr>
    <w:rPr>
      <w:sz w:val="20"/>
      <w:szCs w:val="20"/>
    </w:rPr>
  </w:style>
  <w:style w:type="character" w:customStyle="1" w:styleId="CommentTextChar">
    <w:name w:val="Comment Text Char"/>
    <w:basedOn w:val="DefaultParagraphFont"/>
    <w:link w:val="CommentText"/>
    <w:uiPriority w:val="99"/>
    <w:semiHidden/>
    <w:rsid w:val="00317523"/>
    <w:rPr>
      <w:sz w:val="20"/>
      <w:szCs w:val="20"/>
    </w:rPr>
  </w:style>
  <w:style w:type="paragraph" w:styleId="CommentSubject">
    <w:name w:val="annotation subject"/>
    <w:basedOn w:val="CommentText"/>
    <w:next w:val="CommentText"/>
    <w:link w:val="CommentSubjectChar"/>
    <w:uiPriority w:val="99"/>
    <w:semiHidden/>
    <w:unhideWhenUsed/>
    <w:rsid w:val="00317523"/>
    <w:rPr>
      <w:b/>
      <w:bCs/>
    </w:rPr>
  </w:style>
  <w:style w:type="character" w:customStyle="1" w:styleId="CommentSubjectChar">
    <w:name w:val="Comment Subject Char"/>
    <w:basedOn w:val="CommentTextChar"/>
    <w:link w:val="CommentSubject"/>
    <w:uiPriority w:val="99"/>
    <w:semiHidden/>
    <w:rsid w:val="00317523"/>
    <w:rPr>
      <w:b/>
      <w:bCs/>
      <w:sz w:val="20"/>
      <w:szCs w:val="20"/>
    </w:rPr>
  </w:style>
  <w:style w:type="paragraph" w:styleId="BalloonText">
    <w:name w:val="Balloon Text"/>
    <w:basedOn w:val="Normal"/>
    <w:link w:val="BalloonTextChar"/>
    <w:uiPriority w:val="99"/>
    <w:semiHidden/>
    <w:unhideWhenUsed/>
    <w:rsid w:val="003175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7523"/>
    <w:rPr>
      <w:rFonts w:ascii="Segoe UI" w:hAnsi="Segoe UI" w:cs="Segoe UI"/>
      <w:sz w:val="18"/>
      <w:szCs w:val="18"/>
    </w:rPr>
  </w:style>
  <w:style w:type="paragraph" w:styleId="ListParagraph">
    <w:name w:val="List Paragraph"/>
    <w:basedOn w:val="Normal"/>
    <w:uiPriority w:val="34"/>
    <w:qFormat/>
    <w:rsid w:val="00EC141F"/>
    <w:pPr>
      <w:ind w:left="720"/>
      <w:contextualSpacing/>
    </w:pPr>
  </w:style>
  <w:style w:type="paragraph" w:styleId="NormalWeb">
    <w:name w:val="Normal (Web)"/>
    <w:basedOn w:val="Normal"/>
    <w:uiPriority w:val="99"/>
    <w:semiHidden/>
    <w:unhideWhenUsed/>
    <w:rsid w:val="00B255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1409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1409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1409B"/>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61409B"/>
    <w:pPr>
      <w:outlineLvl w:val="9"/>
    </w:pPr>
  </w:style>
  <w:style w:type="paragraph" w:styleId="TOC1">
    <w:name w:val="toc 1"/>
    <w:basedOn w:val="Normal"/>
    <w:next w:val="Normal"/>
    <w:autoRedefine/>
    <w:uiPriority w:val="39"/>
    <w:unhideWhenUsed/>
    <w:rsid w:val="0061409B"/>
    <w:pPr>
      <w:spacing w:after="100"/>
    </w:pPr>
  </w:style>
  <w:style w:type="paragraph" w:styleId="TOC2">
    <w:name w:val="toc 2"/>
    <w:basedOn w:val="Normal"/>
    <w:next w:val="Normal"/>
    <w:autoRedefine/>
    <w:uiPriority w:val="39"/>
    <w:unhideWhenUsed/>
    <w:rsid w:val="0061409B"/>
    <w:pPr>
      <w:spacing w:after="100"/>
      <w:ind w:left="220"/>
    </w:pPr>
  </w:style>
  <w:style w:type="paragraph" w:styleId="TOC3">
    <w:name w:val="toc 3"/>
    <w:basedOn w:val="Normal"/>
    <w:next w:val="Normal"/>
    <w:autoRedefine/>
    <w:uiPriority w:val="39"/>
    <w:unhideWhenUsed/>
    <w:rsid w:val="0061409B"/>
    <w:pPr>
      <w:spacing w:after="100"/>
      <w:ind w:left="440"/>
    </w:pPr>
  </w:style>
  <w:style w:type="character" w:styleId="Hyperlink">
    <w:name w:val="Hyperlink"/>
    <w:basedOn w:val="DefaultParagraphFont"/>
    <w:uiPriority w:val="99"/>
    <w:unhideWhenUsed/>
    <w:rsid w:val="0061409B"/>
    <w:rPr>
      <w:color w:val="0563C1" w:themeColor="hyperlink"/>
      <w:u w:val="single"/>
    </w:rPr>
  </w:style>
  <w:style w:type="character" w:customStyle="1" w:styleId="Heading4Char">
    <w:name w:val="Heading 4 Char"/>
    <w:basedOn w:val="DefaultParagraphFont"/>
    <w:link w:val="Heading4"/>
    <w:uiPriority w:val="9"/>
    <w:rsid w:val="008F61E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33755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646395"/>
    <w:rPr>
      <w:rFonts w:asciiTheme="majorHAnsi" w:eastAsiaTheme="majorEastAsia" w:hAnsiTheme="majorHAnsi" w:cstheme="majorBidi"/>
      <w:color w:val="1F4D78" w:themeColor="accent1" w:themeShade="7F"/>
    </w:rPr>
  </w:style>
  <w:style w:type="paragraph" w:customStyle="1" w:styleId="Default">
    <w:name w:val="Default"/>
    <w:rsid w:val="000F671F"/>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CE1674"/>
    <w:rPr>
      <w:b/>
      <w:bCs/>
    </w:rPr>
  </w:style>
  <w:style w:type="character" w:styleId="Emphasis">
    <w:name w:val="Emphasis"/>
    <w:basedOn w:val="DefaultParagraphFont"/>
    <w:uiPriority w:val="20"/>
    <w:qFormat/>
    <w:rsid w:val="00266168"/>
    <w:rPr>
      <w:i/>
      <w:iCs/>
    </w:rPr>
  </w:style>
  <w:style w:type="paragraph" w:customStyle="1" w:styleId="programlistingindent">
    <w:name w:val="programlistingindent"/>
    <w:basedOn w:val="Normal"/>
    <w:rsid w:val="002661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htext">
    <w:name w:val="mathtext"/>
    <w:basedOn w:val="DefaultParagraphFont"/>
    <w:rsid w:val="00266168"/>
  </w:style>
  <w:style w:type="character" w:customStyle="1" w:styleId="mathtextbox">
    <w:name w:val="mathtextbox"/>
    <w:basedOn w:val="DefaultParagraphFont"/>
    <w:rsid w:val="00266168"/>
  </w:style>
  <w:style w:type="character" w:customStyle="1" w:styleId="Heading7Char">
    <w:name w:val="Heading 7 Char"/>
    <w:basedOn w:val="DefaultParagraphFont"/>
    <w:link w:val="Heading7"/>
    <w:uiPriority w:val="9"/>
    <w:rsid w:val="007760E0"/>
    <w:rPr>
      <w:rFonts w:asciiTheme="majorHAnsi" w:eastAsiaTheme="majorEastAsia" w:hAnsiTheme="majorHAnsi" w:cstheme="majorBidi"/>
      <w:i/>
      <w:iCs/>
      <w:color w:val="1F4D78" w:themeColor="accent1" w:themeShade="7F"/>
    </w:rPr>
  </w:style>
  <w:style w:type="paragraph" w:styleId="NoSpacing">
    <w:name w:val="No Spacing"/>
    <w:uiPriority w:val="1"/>
    <w:qFormat/>
    <w:rsid w:val="00880A16"/>
    <w:pPr>
      <w:spacing w:after="0" w:line="240" w:lineRule="auto"/>
    </w:pPr>
  </w:style>
  <w:style w:type="paragraph" w:styleId="Header">
    <w:name w:val="header"/>
    <w:basedOn w:val="Normal"/>
    <w:link w:val="HeaderChar"/>
    <w:uiPriority w:val="99"/>
    <w:unhideWhenUsed/>
    <w:rsid w:val="003319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94F"/>
  </w:style>
  <w:style w:type="paragraph" w:styleId="Footer">
    <w:name w:val="footer"/>
    <w:basedOn w:val="Normal"/>
    <w:link w:val="FooterChar"/>
    <w:uiPriority w:val="99"/>
    <w:unhideWhenUsed/>
    <w:rsid w:val="003319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94F"/>
  </w:style>
  <w:style w:type="character" w:styleId="SubtleEmphasis">
    <w:name w:val="Subtle Emphasis"/>
    <w:basedOn w:val="DefaultParagraphFont"/>
    <w:uiPriority w:val="19"/>
    <w:qFormat/>
    <w:rsid w:val="00473828"/>
    <w:rPr>
      <w:i/>
      <w:iCs/>
      <w:color w:val="404040" w:themeColor="text1" w:themeTint="BF"/>
    </w:rPr>
  </w:style>
  <w:style w:type="table" w:customStyle="1" w:styleId="GridTable4Accent1">
    <w:name w:val="Grid Table 4 Accent 1"/>
    <w:basedOn w:val="TableNormal"/>
    <w:uiPriority w:val="49"/>
    <w:rsid w:val="00473828"/>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1Light">
    <w:name w:val="Grid Table 1 Light"/>
    <w:basedOn w:val="TableNormal"/>
    <w:uiPriority w:val="46"/>
    <w:rsid w:val="00473828"/>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4">
    <w:name w:val="toc 4"/>
    <w:basedOn w:val="Normal"/>
    <w:next w:val="Normal"/>
    <w:autoRedefine/>
    <w:uiPriority w:val="39"/>
    <w:unhideWhenUsed/>
    <w:rsid w:val="005B3FD7"/>
    <w:pPr>
      <w:spacing w:after="100"/>
      <w:ind w:left="660"/>
    </w:pPr>
  </w:style>
  <w:style w:type="paragraph" w:styleId="TOC5">
    <w:name w:val="toc 5"/>
    <w:basedOn w:val="Normal"/>
    <w:next w:val="Normal"/>
    <w:autoRedefine/>
    <w:uiPriority w:val="39"/>
    <w:unhideWhenUsed/>
    <w:rsid w:val="005B3FD7"/>
    <w:pPr>
      <w:spacing w:after="100"/>
      <w:ind w:left="880"/>
    </w:pPr>
  </w:style>
  <w:style w:type="paragraph" w:styleId="TOC6">
    <w:name w:val="toc 6"/>
    <w:basedOn w:val="Normal"/>
    <w:next w:val="Normal"/>
    <w:autoRedefine/>
    <w:uiPriority w:val="39"/>
    <w:unhideWhenUsed/>
    <w:rsid w:val="005B3FD7"/>
    <w:pPr>
      <w:spacing w:after="100"/>
      <w:ind w:left="1100"/>
    </w:pPr>
  </w:style>
  <w:style w:type="paragraph" w:styleId="TOC7">
    <w:name w:val="toc 7"/>
    <w:basedOn w:val="Normal"/>
    <w:next w:val="Normal"/>
    <w:autoRedefine/>
    <w:uiPriority w:val="39"/>
    <w:unhideWhenUsed/>
    <w:rsid w:val="00A5573A"/>
    <w:pPr>
      <w:tabs>
        <w:tab w:val="right" w:leader="dot" w:pos="9350"/>
      </w:tabs>
      <w:spacing w:after="100"/>
    </w:pPr>
    <w:rPr>
      <w:rFonts w:ascii="Times New Roman" w:hAnsi="Times New Roman" w:cs="Times New Roman"/>
      <w:b/>
      <w:noProof/>
    </w:rPr>
  </w:style>
</w:styles>
</file>

<file path=word/webSettings.xml><?xml version="1.0" encoding="utf-8"?>
<w:webSettings xmlns:r="http://schemas.openxmlformats.org/officeDocument/2006/relationships" xmlns:w="http://schemas.openxmlformats.org/wordprocessingml/2006/main">
  <w:divs>
    <w:div w:id="55050615">
      <w:bodyDiv w:val="1"/>
      <w:marLeft w:val="0"/>
      <w:marRight w:val="0"/>
      <w:marTop w:val="0"/>
      <w:marBottom w:val="0"/>
      <w:divBdr>
        <w:top w:val="none" w:sz="0" w:space="0" w:color="auto"/>
        <w:left w:val="none" w:sz="0" w:space="0" w:color="auto"/>
        <w:bottom w:val="none" w:sz="0" w:space="0" w:color="auto"/>
        <w:right w:val="none" w:sz="0" w:space="0" w:color="auto"/>
      </w:divBdr>
      <w:divsChild>
        <w:div w:id="1629780196">
          <w:marLeft w:val="0"/>
          <w:marRight w:val="0"/>
          <w:marTop w:val="0"/>
          <w:marBottom w:val="0"/>
          <w:divBdr>
            <w:top w:val="none" w:sz="0" w:space="0" w:color="auto"/>
            <w:left w:val="none" w:sz="0" w:space="0" w:color="auto"/>
            <w:bottom w:val="none" w:sz="0" w:space="0" w:color="auto"/>
            <w:right w:val="none" w:sz="0" w:space="0" w:color="auto"/>
          </w:divBdr>
          <w:divsChild>
            <w:div w:id="446777178">
              <w:marLeft w:val="0"/>
              <w:marRight w:val="0"/>
              <w:marTop w:val="0"/>
              <w:marBottom w:val="150"/>
              <w:divBdr>
                <w:top w:val="none" w:sz="0" w:space="0" w:color="auto"/>
                <w:left w:val="none" w:sz="0" w:space="0" w:color="auto"/>
                <w:bottom w:val="none" w:sz="0" w:space="0" w:color="auto"/>
                <w:right w:val="none" w:sz="0" w:space="0" w:color="auto"/>
              </w:divBdr>
            </w:div>
          </w:divsChild>
        </w:div>
        <w:div w:id="1984850127">
          <w:marLeft w:val="0"/>
          <w:marRight w:val="0"/>
          <w:marTop w:val="0"/>
          <w:marBottom w:val="0"/>
          <w:divBdr>
            <w:top w:val="none" w:sz="0" w:space="0" w:color="auto"/>
            <w:left w:val="none" w:sz="0" w:space="0" w:color="auto"/>
            <w:bottom w:val="none" w:sz="0" w:space="0" w:color="auto"/>
            <w:right w:val="none" w:sz="0" w:space="0" w:color="auto"/>
          </w:divBdr>
        </w:div>
      </w:divsChild>
    </w:div>
    <w:div w:id="552235467">
      <w:bodyDiv w:val="1"/>
      <w:marLeft w:val="0"/>
      <w:marRight w:val="0"/>
      <w:marTop w:val="0"/>
      <w:marBottom w:val="0"/>
      <w:divBdr>
        <w:top w:val="none" w:sz="0" w:space="0" w:color="auto"/>
        <w:left w:val="none" w:sz="0" w:space="0" w:color="auto"/>
        <w:bottom w:val="none" w:sz="0" w:space="0" w:color="auto"/>
        <w:right w:val="none" w:sz="0" w:space="0" w:color="auto"/>
      </w:divBdr>
    </w:div>
    <w:div w:id="685013534">
      <w:bodyDiv w:val="1"/>
      <w:marLeft w:val="0"/>
      <w:marRight w:val="0"/>
      <w:marTop w:val="0"/>
      <w:marBottom w:val="0"/>
      <w:divBdr>
        <w:top w:val="none" w:sz="0" w:space="0" w:color="auto"/>
        <w:left w:val="none" w:sz="0" w:space="0" w:color="auto"/>
        <w:bottom w:val="none" w:sz="0" w:space="0" w:color="auto"/>
        <w:right w:val="none" w:sz="0" w:space="0" w:color="auto"/>
      </w:divBdr>
    </w:div>
    <w:div w:id="688606897">
      <w:bodyDiv w:val="1"/>
      <w:marLeft w:val="0"/>
      <w:marRight w:val="0"/>
      <w:marTop w:val="0"/>
      <w:marBottom w:val="0"/>
      <w:divBdr>
        <w:top w:val="none" w:sz="0" w:space="0" w:color="auto"/>
        <w:left w:val="none" w:sz="0" w:space="0" w:color="auto"/>
        <w:bottom w:val="none" w:sz="0" w:space="0" w:color="auto"/>
        <w:right w:val="none" w:sz="0" w:space="0" w:color="auto"/>
      </w:divBdr>
      <w:divsChild>
        <w:div w:id="1193609561">
          <w:marLeft w:val="547"/>
          <w:marRight w:val="0"/>
          <w:marTop w:val="110"/>
          <w:marBottom w:val="0"/>
          <w:divBdr>
            <w:top w:val="none" w:sz="0" w:space="0" w:color="auto"/>
            <w:left w:val="none" w:sz="0" w:space="0" w:color="auto"/>
            <w:bottom w:val="none" w:sz="0" w:space="0" w:color="auto"/>
            <w:right w:val="none" w:sz="0" w:space="0" w:color="auto"/>
          </w:divBdr>
        </w:div>
      </w:divsChild>
    </w:div>
    <w:div w:id="723530882">
      <w:bodyDiv w:val="1"/>
      <w:marLeft w:val="0"/>
      <w:marRight w:val="0"/>
      <w:marTop w:val="0"/>
      <w:marBottom w:val="0"/>
      <w:divBdr>
        <w:top w:val="none" w:sz="0" w:space="0" w:color="auto"/>
        <w:left w:val="none" w:sz="0" w:space="0" w:color="auto"/>
        <w:bottom w:val="none" w:sz="0" w:space="0" w:color="auto"/>
        <w:right w:val="none" w:sz="0" w:space="0" w:color="auto"/>
      </w:divBdr>
      <w:divsChild>
        <w:div w:id="2007125826">
          <w:marLeft w:val="0"/>
          <w:marRight w:val="0"/>
          <w:marTop w:val="0"/>
          <w:marBottom w:val="0"/>
          <w:divBdr>
            <w:top w:val="none" w:sz="0" w:space="0" w:color="auto"/>
            <w:left w:val="none" w:sz="0" w:space="0" w:color="auto"/>
            <w:bottom w:val="none" w:sz="0" w:space="0" w:color="auto"/>
            <w:right w:val="none" w:sz="0" w:space="0" w:color="auto"/>
          </w:divBdr>
        </w:div>
      </w:divsChild>
    </w:div>
    <w:div w:id="777985536">
      <w:bodyDiv w:val="1"/>
      <w:marLeft w:val="0"/>
      <w:marRight w:val="0"/>
      <w:marTop w:val="0"/>
      <w:marBottom w:val="0"/>
      <w:divBdr>
        <w:top w:val="none" w:sz="0" w:space="0" w:color="auto"/>
        <w:left w:val="none" w:sz="0" w:space="0" w:color="auto"/>
        <w:bottom w:val="none" w:sz="0" w:space="0" w:color="auto"/>
        <w:right w:val="none" w:sz="0" w:space="0" w:color="auto"/>
      </w:divBdr>
    </w:div>
    <w:div w:id="1024402326">
      <w:bodyDiv w:val="1"/>
      <w:marLeft w:val="0"/>
      <w:marRight w:val="0"/>
      <w:marTop w:val="0"/>
      <w:marBottom w:val="0"/>
      <w:divBdr>
        <w:top w:val="none" w:sz="0" w:space="0" w:color="auto"/>
        <w:left w:val="none" w:sz="0" w:space="0" w:color="auto"/>
        <w:bottom w:val="none" w:sz="0" w:space="0" w:color="auto"/>
        <w:right w:val="none" w:sz="0" w:space="0" w:color="auto"/>
      </w:divBdr>
    </w:div>
    <w:div w:id="1224177275">
      <w:bodyDiv w:val="1"/>
      <w:marLeft w:val="0"/>
      <w:marRight w:val="0"/>
      <w:marTop w:val="0"/>
      <w:marBottom w:val="0"/>
      <w:divBdr>
        <w:top w:val="none" w:sz="0" w:space="0" w:color="auto"/>
        <w:left w:val="none" w:sz="0" w:space="0" w:color="auto"/>
        <w:bottom w:val="none" w:sz="0" w:space="0" w:color="auto"/>
        <w:right w:val="none" w:sz="0" w:space="0" w:color="auto"/>
      </w:divBdr>
    </w:div>
    <w:div w:id="1264847678">
      <w:bodyDiv w:val="1"/>
      <w:marLeft w:val="0"/>
      <w:marRight w:val="0"/>
      <w:marTop w:val="0"/>
      <w:marBottom w:val="0"/>
      <w:divBdr>
        <w:top w:val="none" w:sz="0" w:space="0" w:color="auto"/>
        <w:left w:val="none" w:sz="0" w:space="0" w:color="auto"/>
        <w:bottom w:val="none" w:sz="0" w:space="0" w:color="auto"/>
        <w:right w:val="none" w:sz="0" w:space="0" w:color="auto"/>
      </w:divBdr>
    </w:div>
    <w:div w:id="1435173475">
      <w:bodyDiv w:val="1"/>
      <w:marLeft w:val="0"/>
      <w:marRight w:val="0"/>
      <w:marTop w:val="0"/>
      <w:marBottom w:val="0"/>
      <w:divBdr>
        <w:top w:val="none" w:sz="0" w:space="0" w:color="auto"/>
        <w:left w:val="none" w:sz="0" w:space="0" w:color="auto"/>
        <w:bottom w:val="none" w:sz="0" w:space="0" w:color="auto"/>
        <w:right w:val="none" w:sz="0" w:space="0" w:color="auto"/>
      </w:divBdr>
    </w:div>
    <w:div w:id="1550724938">
      <w:bodyDiv w:val="1"/>
      <w:marLeft w:val="0"/>
      <w:marRight w:val="0"/>
      <w:marTop w:val="0"/>
      <w:marBottom w:val="0"/>
      <w:divBdr>
        <w:top w:val="none" w:sz="0" w:space="0" w:color="auto"/>
        <w:left w:val="none" w:sz="0" w:space="0" w:color="auto"/>
        <w:bottom w:val="none" w:sz="0" w:space="0" w:color="auto"/>
        <w:right w:val="none" w:sz="0" w:space="0" w:color="auto"/>
      </w:divBdr>
    </w:div>
    <w:div w:id="1834877116">
      <w:bodyDiv w:val="1"/>
      <w:marLeft w:val="0"/>
      <w:marRight w:val="0"/>
      <w:marTop w:val="0"/>
      <w:marBottom w:val="0"/>
      <w:divBdr>
        <w:top w:val="none" w:sz="0" w:space="0" w:color="auto"/>
        <w:left w:val="none" w:sz="0" w:space="0" w:color="auto"/>
        <w:bottom w:val="none" w:sz="0" w:space="0" w:color="auto"/>
        <w:right w:val="none" w:sz="0" w:space="0" w:color="auto"/>
      </w:divBdr>
    </w:div>
    <w:div w:id="1835534925">
      <w:bodyDiv w:val="1"/>
      <w:marLeft w:val="0"/>
      <w:marRight w:val="0"/>
      <w:marTop w:val="0"/>
      <w:marBottom w:val="0"/>
      <w:divBdr>
        <w:top w:val="none" w:sz="0" w:space="0" w:color="auto"/>
        <w:left w:val="none" w:sz="0" w:space="0" w:color="auto"/>
        <w:bottom w:val="none" w:sz="0" w:space="0" w:color="auto"/>
        <w:right w:val="none" w:sz="0" w:space="0" w:color="auto"/>
      </w:divBdr>
    </w:div>
    <w:div w:id="1859001724">
      <w:bodyDiv w:val="1"/>
      <w:marLeft w:val="0"/>
      <w:marRight w:val="0"/>
      <w:marTop w:val="0"/>
      <w:marBottom w:val="0"/>
      <w:divBdr>
        <w:top w:val="none" w:sz="0" w:space="0" w:color="auto"/>
        <w:left w:val="none" w:sz="0" w:space="0" w:color="auto"/>
        <w:bottom w:val="none" w:sz="0" w:space="0" w:color="auto"/>
        <w:right w:val="none" w:sz="0" w:space="0" w:color="auto"/>
      </w:divBdr>
      <w:divsChild>
        <w:div w:id="266431789">
          <w:marLeft w:val="0"/>
          <w:marRight w:val="0"/>
          <w:marTop w:val="0"/>
          <w:marBottom w:val="0"/>
          <w:divBdr>
            <w:top w:val="none" w:sz="0" w:space="0" w:color="auto"/>
            <w:left w:val="none" w:sz="0" w:space="0" w:color="auto"/>
            <w:bottom w:val="none" w:sz="0" w:space="0" w:color="auto"/>
            <w:right w:val="none" w:sz="0" w:space="0" w:color="auto"/>
          </w:divBdr>
        </w:div>
      </w:divsChild>
    </w:div>
    <w:div w:id="2067751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dia\Desktop\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adia\Desktop\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dia\Desktop\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adia\Desktop\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adia\Desktop\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adia\Desktop\Book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Chart%20in%20Microsoft%20PowerPoint"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Chart%20in%20Microsoft%20PowerPoin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baseline="0">
                <a:effectLst/>
                <a:latin typeface="Times New Roman" panose="02020603050405020304" pitchFamily="18" charset="0"/>
                <a:cs typeface="Times New Roman" panose="02020603050405020304" pitchFamily="18" charset="0"/>
              </a:rPr>
              <a:t>Alpha Returns of Both Portfolios</a:t>
            </a:r>
            <a:endParaRPr lang="en-US">
              <a:latin typeface="Times New Roman" panose="02020603050405020304" pitchFamily="18" charset="0"/>
              <a:cs typeface="Times New Roman" panose="02020603050405020304" pitchFamily="18" charset="0"/>
            </a:endParaRPr>
          </a:p>
        </c:rich>
      </c:tx>
      <c:spPr>
        <a:noFill/>
        <a:ln>
          <a:noFill/>
        </a:ln>
        <a:effectLst/>
      </c:spPr>
    </c:title>
    <c:plotArea>
      <c:layout/>
      <c:areaChart>
        <c:grouping val="standard"/>
        <c:ser>
          <c:idx val="1"/>
          <c:order val="1"/>
          <c:tx>
            <c:strRef>
              <c:f>'alpha capm'!$C$1</c:f>
              <c:strCache>
                <c:ptCount val="1"/>
                <c:pt idx="0">
                  <c:v>Upper Bound</c:v>
                </c:pt>
              </c:strCache>
            </c:strRef>
          </c:tx>
          <c:spPr>
            <a:solidFill>
              <a:schemeClr val="accent1">
                <a:lumMod val="20000"/>
                <a:lumOff val="80000"/>
              </a:schemeClr>
            </a:solidFill>
            <a:ln>
              <a:solidFill>
                <a:schemeClr val="accent1">
                  <a:lumMod val="40000"/>
                  <a:lumOff val="60000"/>
                </a:schemeClr>
              </a:solidFill>
            </a:ln>
            <a:effectLst/>
          </c:spPr>
          <c:cat>
            <c:strRef>
              <c:f>'alpha capm'!$A$2:$A$12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capm'!$C$2:$C$12</c:f>
              <c:numCache>
                <c:formatCode>General</c:formatCode>
                <c:ptCount val="11"/>
                <c:pt idx="0">
                  <c:v>-0.45100000000000001</c:v>
                </c:pt>
                <c:pt idx="1">
                  <c:v>-0.39000000000000012</c:v>
                </c:pt>
                <c:pt idx="2">
                  <c:v>-0.32700000000000012</c:v>
                </c:pt>
                <c:pt idx="3">
                  <c:v>-0.26500000000000001</c:v>
                </c:pt>
                <c:pt idx="4">
                  <c:v>-0.17500000000000004</c:v>
                </c:pt>
                <c:pt idx="5">
                  <c:v>-0.24900000000000005</c:v>
                </c:pt>
                <c:pt idx="6">
                  <c:v>-2.0000000000000011E-2</c:v>
                </c:pt>
                <c:pt idx="7">
                  <c:v>-0.21100000000000005</c:v>
                </c:pt>
                <c:pt idx="8">
                  <c:v>-0.22500000000000003</c:v>
                </c:pt>
                <c:pt idx="9">
                  <c:v>-0.254</c:v>
                </c:pt>
                <c:pt idx="10">
                  <c:v>-2.3999999999999994E-2</c:v>
                </c:pt>
              </c:numCache>
            </c:numRef>
          </c:val>
          <c:extLst xmlns:c16r2="http://schemas.microsoft.com/office/drawing/2015/06/chart">
            <c:ext xmlns:c16="http://schemas.microsoft.com/office/drawing/2014/chart" uri="{C3380CC4-5D6E-409C-BE32-E72D297353CC}">
              <c16:uniqueId val="{00000000-7944-4036-A8B7-B0158F957BB8}"/>
            </c:ext>
          </c:extLst>
        </c:ser>
        <c:ser>
          <c:idx val="2"/>
          <c:order val="2"/>
          <c:tx>
            <c:strRef>
              <c:f>'alpha capm'!$D$1</c:f>
              <c:strCache>
                <c:ptCount val="1"/>
                <c:pt idx="0">
                  <c:v>Lower Bound</c:v>
                </c:pt>
              </c:strCache>
            </c:strRef>
          </c:tx>
          <c:spPr>
            <a:solidFill>
              <a:schemeClr val="bg1"/>
            </a:solidFill>
            <a:ln>
              <a:solidFill>
                <a:schemeClr val="bg1"/>
              </a:solidFill>
            </a:ln>
            <a:effectLst/>
          </c:spPr>
          <c:cat>
            <c:strRef>
              <c:f>'alpha capm'!$A$2:$A$12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capm'!$D$2:$D$12</c:f>
              <c:numCache>
                <c:formatCode>General</c:formatCode>
                <c:ptCount val="11"/>
                <c:pt idx="0">
                  <c:v>-0.59900000000000009</c:v>
                </c:pt>
                <c:pt idx="1">
                  <c:v>-0.54600000000000004</c:v>
                </c:pt>
                <c:pt idx="2">
                  <c:v>-0.47500000000000014</c:v>
                </c:pt>
                <c:pt idx="3">
                  <c:v>-0.42100000000000015</c:v>
                </c:pt>
                <c:pt idx="4">
                  <c:v>-0.33500000000000013</c:v>
                </c:pt>
                <c:pt idx="5">
                  <c:v>-0.41700000000000015</c:v>
                </c:pt>
                <c:pt idx="6">
                  <c:v>-0.19600000000000004</c:v>
                </c:pt>
                <c:pt idx="7">
                  <c:v>-0.37500000000000011</c:v>
                </c:pt>
                <c:pt idx="8">
                  <c:v>-0.40100000000000002</c:v>
                </c:pt>
                <c:pt idx="9">
                  <c:v>-0.43800000000000011</c:v>
                </c:pt>
                <c:pt idx="10">
                  <c:v>-0.19200000000000003</c:v>
                </c:pt>
              </c:numCache>
            </c:numRef>
          </c:val>
          <c:extLst xmlns:c16r2="http://schemas.microsoft.com/office/drawing/2015/06/chart">
            <c:ext xmlns:c16="http://schemas.microsoft.com/office/drawing/2014/chart" uri="{C3380CC4-5D6E-409C-BE32-E72D297353CC}">
              <c16:uniqueId val="{00000001-7944-4036-A8B7-B0158F957BB8}"/>
            </c:ext>
          </c:extLst>
        </c:ser>
        <c:ser>
          <c:idx val="4"/>
          <c:order val="4"/>
          <c:tx>
            <c:strRef>
              <c:f>'alpha capm'!$F$1</c:f>
              <c:strCache>
                <c:ptCount val="1"/>
                <c:pt idx="0">
                  <c:v>Upper Bound</c:v>
                </c:pt>
              </c:strCache>
            </c:strRef>
          </c:tx>
          <c:spPr>
            <a:solidFill>
              <a:schemeClr val="accent1">
                <a:lumMod val="20000"/>
                <a:lumOff val="80000"/>
              </a:schemeClr>
            </a:solidFill>
            <a:ln>
              <a:solidFill>
                <a:schemeClr val="accent1">
                  <a:lumMod val="40000"/>
                  <a:lumOff val="60000"/>
                </a:schemeClr>
              </a:solidFill>
            </a:ln>
            <a:effectLst/>
          </c:spPr>
          <c:cat>
            <c:strRef>
              <c:f>'alpha capm'!$A$2:$A$12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capm'!$F$2:$F$12</c:f>
              <c:numCache>
                <c:formatCode>General</c:formatCode>
                <c:ptCount val="11"/>
                <c:pt idx="0">
                  <c:v>0.88300000000000012</c:v>
                </c:pt>
                <c:pt idx="1">
                  <c:v>0.8540000000000002</c:v>
                </c:pt>
                <c:pt idx="2">
                  <c:v>0.90500000000000003</c:v>
                </c:pt>
                <c:pt idx="3">
                  <c:v>0.8470000000000002</c:v>
                </c:pt>
                <c:pt idx="4">
                  <c:v>0.77500000000000013</c:v>
                </c:pt>
                <c:pt idx="5">
                  <c:v>0.83700000000000019</c:v>
                </c:pt>
                <c:pt idx="6">
                  <c:v>0.70400000000000018</c:v>
                </c:pt>
                <c:pt idx="7">
                  <c:v>0.8530000000000002</c:v>
                </c:pt>
                <c:pt idx="8">
                  <c:v>0.73700000000000021</c:v>
                </c:pt>
                <c:pt idx="9">
                  <c:v>0.73300000000000021</c:v>
                </c:pt>
                <c:pt idx="10">
                  <c:v>0.79699999999999993</c:v>
                </c:pt>
              </c:numCache>
            </c:numRef>
          </c:val>
          <c:extLst xmlns:c16r2="http://schemas.microsoft.com/office/drawing/2015/06/chart">
            <c:ext xmlns:c16="http://schemas.microsoft.com/office/drawing/2014/chart" uri="{C3380CC4-5D6E-409C-BE32-E72D297353CC}">
              <c16:uniqueId val="{00000002-7944-4036-A8B7-B0158F957BB8}"/>
            </c:ext>
          </c:extLst>
        </c:ser>
        <c:ser>
          <c:idx val="5"/>
          <c:order val="5"/>
          <c:tx>
            <c:strRef>
              <c:f>'alpha capm'!$G$1</c:f>
              <c:strCache>
                <c:ptCount val="1"/>
                <c:pt idx="0">
                  <c:v>Lower Bound</c:v>
                </c:pt>
              </c:strCache>
            </c:strRef>
          </c:tx>
          <c:spPr>
            <a:solidFill>
              <a:schemeClr val="bg1"/>
            </a:solidFill>
            <a:ln>
              <a:solidFill>
                <a:schemeClr val="bg1"/>
              </a:solidFill>
            </a:ln>
            <a:effectLst/>
          </c:spPr>
          <c:cat>
            <c:strRef>
              <c:f>'alpha capm'!$A$2:$A$12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capm'!$G$2:$G$12</c:f>
              <c:numCache>
                <c:formatCode>General</c:formatCode>
                <c:ptCount val="11"/>
                <c:pt idx="0">
                  <c:v>0.6950000000000004</c:v>
                </c:pt>
                <c:pt idx="1">
                  <c:v>0.66600000000000026</c:v>
                </c:pt>
                <c:pt idx="2">
                  <c:v>0.7090000000000003</c:v>
                </c:pt>
                <c:pt idx="3">
                  <c:v>0.65500000000000025</c:v>
                </c:pt>
                <c:pt idx="4">
                  <c:v>0.58700000000000019</c:v>
                </c:pt>
                <c:pt idx="5">
                  <c:v>0.64900000000000024</c:v>
                </c:pt>
                <c:pt idx="6">
                  <c:v>0.52</c:v>
                </c:pt>
                <c:pt idx="7">
                  <c:v>0.66100000000000025</c:v>
                </c:pt>
                <c:pt idx="8">
                  <c:v>0.55700000000000005</c:v>
                </c:pt>
                <c:pt idx="9">
                  <c:v>0.55700000000000005</c:v>
                </c:pt>
                <c:pt idx="10">
                  <c:v>0.59700000000000009</c:v>
                </c:pt>
              </c:numCache>
            </c:numRef>
          </c:val>
          <c:extLst xmlns:c16r2="http://schemas.microsoft.com/office/drawing/2015/06/chart">
            <c:ext xmlns:c16="http://schemas.microsoft.com/office/drawing/2014/chart" uri="{C3380CC4-5D6E-409C-BE32-E72D297353CC}">
              <c16:uniqueId val="{00000003-7944-4036-A8B7-B0158F957BB8}"/>
            </c:ext>
          </c:extLst>
        </c:ser>
        <c:axId val="84278656"/>
        <c:axId val="84325504"/>
      </c:areaChart>
      <c:lineChart>
        <c:grouping val="standard"/>
        <c:ser>
          <c:idx val="0"/>
          <c:order val="0"/>
          <c:tx>
            <c:strRef>
              <c:f>'alpha capm'!$B$1</c:f>
              <c:strCache>
                <c:ptCount val="1"/>
                <c:pt idx="0">
                  <c:v>FL</c:v>
                </c:pt>
              </c:strCache>
            </c:strRef>
          </c:tx>
          <c:spPr>
            <a:ln w="28575" cap="rnd">
              <a:solidFill>
                <a:schemeClr val="accent1"/>
              </a:solidFill>
              <a:round/>
            </a:ln>
            <a:effectLst/>
          </c:spPr>
          <c:marker>
            <c:symbol val="none"/>
          </c:marker>
          <c:cat>
            <c:strRef>
              <c:f>'alpha capm'!$A$2:$A$12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capm'!$B$2:$B$12</c:f>
              <c:numCache>
                <c:formatCode>General</c:formatCode>
                <c:ptCount val="11"/>
                <c:pt idx="0">
                  <c:v>-0.52500000000000002</c:v>
                </c:pt>
                <c:pt idx="1">
                  <c:v>-0.46800000000000008</c:v>
                </c:pt>
                <c:pt idx="2">
                  <c:v>-0.40100000000000002</c:v>
                </c:pt>
                <c:pt idx="3">
                  <c:v>-0.34300000000000019</c:v>
                </c:pt>
                <c:pt idx="4">
                  <c:v>-0.255</c:v>
                </c:pt>
                <c:pt idx="5">
                  <c:v>-0.33300000000000013</c:v>
                </c:pt>
                <c:pt idx="6">
                  <c:v>-0.10800000000000003</c:v>
                </c:pt>
                <c:pt idx="7">
                  <c:v>-0.29300000000000009</c:v>
                </c:pt>
                <c:pt idx="8">
                  <c:v>-0.31300000000000011</c:v>
                </c:pt>
                <c:pt idx="9">
                  <c:v>-0.34600000000000014</c:v>
                </c:pt>
                <c:pt idx="10">
                  <c:v>-0.10800000000000003</c:v>
                </c:pt>
              </c:numCache>
            </c:numRef>
          </c:val>
          <c:extLst xmlns:c16r2="http://schemas.microsoft.com/office/drawing/2015/06/chart">
            <c:ext xmlns:c16="http://schemas.microsoft.com/office/drawing/2014/chart" uri="{C3380CC4-5D6E-409C-BE32-E72D297353CC}">
              <c16:uniqueId val="{00000004-7944-4036-A8B7-B0158F957BB8}"/>
            </c:ext>
          </c:extLst>
        </c:ser>
        <c:ser>
          <c:idx val="3"/>
          <c:order val="3"/>
          <c:tx>
            <c:strRef>
              <c:f>'alpha capm'!$E$1</c:f>
              <c:strCache>
                <c:ptCount val="1"/>
                <c:pt idx="0">
                  <c:v>NFL</c:v>
                </c:pt>
              </c:strCache>
            </c:strRef>
          </c:tx>
          <c:spPr>
            <a:ln w="28575" cap="rnd">
              <a:solidFill>
                <a:schemeClr val="accent4"/>
              </a:solidFill>
              <a:round/>
            </a:ln>
            <a:effectLst/>
          </c:spPr>
          <c:marker>
            <c:symbol val="none"/>
          </c:marker>
          <c:cat>
            <c:strRef>
              <c:f>'alpha capm'!$A$2:$A$12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capm'!$E$2:$E$12</c:f>
              <c:numCache>
                <c:formatCode>General</c:formatCode>
                <c:ptCount val="11"/>
                <c:pt idx="0">
                  <c:v>0.78900000000000003</c:v>
                </c:pt>
                <c:pt idx="1">
                  <c:v>0.76000000000000023</c:v>
                </c:pt>
                <c:pt idx="2">
                  <c:v>0.80700000000000005</c:v>
                </c:pt>
                <c:pt idx="3">
                  <c:v>0.75100000000000022</c:v>
                </c:pt>
                <c:pt idx="4">
                  <c:v>0.68100000000000027</c:v>
                </c:pt>
                <c:pt idx="5">
                  <c:v>0.74300000000000022</c:v>
                </c:pt>
                <c:pt idx="6">
                  <c:v>0.61200000000000021</c:v>
                </c:pt>
                <c:pt idx="7">
                  <c:v>0.75700000000000023</c:v>
                </c:pt>
                <c:pt idx="8">
                  <c:v>0.64700000000000024</c:v>
                </c:pt>
                <c:pt idx="9">
                  <c:v>0.64500000000000024</c:v>
                </c:pt>
                <c:pt idx="10">
                  <c:v>0.69700000000000017</c:v>
                </c:pt>
              </c:numCache>
            </c:numRef>
          </c:val>
          <c:extLst xmlns:c16r2="http://schemas.microsoft.com/office/drawing/2015/06/chart">
            <c:ext xmlns:c16="http://schemas.microsoft.com/office/drawing/2014/chart" uri="{C3380CC4-5D6E-409C-BE32-E72D297353CC}">
              <c16:uniqueId val="{00000005-7944-4036-A8B7-B0158F957BB8}"/>
            </c:ext>
          </c:extLst>
        </c:ser>
        <c:marker val="1"/>
        <c:axId val="84278656"/>
        <c:axId val="84325504"/>
      </c:lineChart>
      <c:catAx>
        <c:axId val="8427865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325504"/>
        <c:crosses val="autoZero"/>
        <c:auto val="1"/>
        <c:lblAlgn val="ctr"/>
        <c:lblOffset val="100"/>
      </c:catAx>
      <c:valAx>
        <c:axId val="84325504"/>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27865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Market</a:t>
            </a:r>
            <a:r>
              <a:rPr lang="en-US" b="1" baseline="0">
                <a:latin typeface="Times New Roman" panose="02020603050405020304" pitchFamily="18" charset="0"/>
                <a:cs typeface="Times New Roman" panose="02020603050405020304" pitchFamily="18" charset="0"/>
              </a:rPr>
              <a:t> Risk of Both Portfolios</a:t>
            </a:r>
            <a:endParaRPr lang="en-US" b="1">
              <a:latin typeface="Times New Roman" panose="02020603050405020304" pitchFamily="18" charset="0"/>
              <a:cs typeface="Times New Roman" panose="02020603050405020304" pitchFamily="18" charset="0"/>
            </a:endParaRPr>
          </a:p>
        </c:rich>
      </c:tx>
      <c:layout>
        <c:manualLayout>
          <c:xMode val="edge"/>
          <c:yMode val="edge"/>
          <c:x val="0.28367681726378202"/>
          <c:y val="5.4009140008309087E-2"/>
        </c:manualLayout>
      </c:layout>
      <c:spPr>
        <a:noFill/>
        <a:ln>
          <a:noFill/>
        </a:ln>
        <a:effectLst/>
      </c:spPr>
    </c:title>
    <c:plotArea>
      <c:layout>
        <c:manualLayout>
          <c:layoutTarget val="inner"/>
          <c:xMode val="edge"/>
          <c:yMode val="edge"/>
          <c:x val="5.6264666445904186E-2"/>
          <c:y val="0.11063385533184192"/>
          <c:w val="0.92307951287394363"/>
          <c:h val="0.7519362093161176"/>
        </c:manualLayout>
      </c:layout>
      <c:areaChart>
        <c:grouping val="standard"/>
        <c:ser>
          <c:idx val="1"/>
          <c:order val="1"/>
          <c:tx>
            <c:strRef>
              <c:f>'alpha capm'!$C$15</c:f>
              <c:strCache>
                <c:ptCount val="1"/>
                <c:pt idx="0">
                  <c:v>Upper Bound</c:v>
                </c:pt>
              </c:strCache>
            </c:strRef>
          </c:tx>
          <c:spPr>
            <a:solidFill>
              <a:schemeClr val="accent1">
                <a:lumMod val="40000"/>
                <a:lumOff val="60000"/>
              </a:schemeClr>
            </a:solidFill>
            <a:ln>
              <a:solidFill>
                <a:schemeClr val="accent1">
                  <a:lumMod val="40000"/>
                  <a:lumOff val="60000"/>
                </a:schemeClr>
              </a:solidFill>
            </a:ln>
            <a:effectLst/>
          </c:spPr>
          <c:cat>
            <c:strRef>
              <c:f>'alpha capm'!$A$16:$A$26</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capm'!$C$16:$C$26</c:f>
              <c:numCache>
                <c:formatCode>General</c:formatCode>
                <c:ptCount val="11"/>
                <c:pt idx="0">
                  <c:v>1.0429999999999995</c:v>
                </c:pt>
                <c:pt idx="1">
                  <c:v>1.097</c:v>
                </c:pt>
                <c:pt idx="2">
                  <c:v>1.101</c:v>
                </c:pt>
                <c:pt idx="3">
                  <c:v>1.1519999999999995</c:v>
                </c:pt>
                <c:pt idx="4">
                  <c:v>1.139</c:v>
                </c:pt>
                <c:pt idx="5">
                  <c:v>1.125</c:v>
                </c:pt>
                <c:pt idx="6">
                  <c:v>1.165</c:v>
                </c:pt>
                <c:pt idx="7">
                  <c:v>1.1160000000000001</c:v>
                </c:pt>
                <c:pt idx="8">
                  <c:v>1.143</c:v>
                </c:pt>
                <c:pt idx="9">
                  <c:v>1.171</c:v>
                </c:pt>
                <c:pt idx="10">
                  <c:v>1.163</c:v>
                </c:pt>
              </c:numCache>
            </c:numRef>
          </c:val>
          <c:extLst xmlns:c16r2="http://schemas.microsoft.com/office/drawing/2015/06/chart">
            <c:ext xmlns:c16="http://schemas.microsoft.com/office/drawing/2014/chart" uri="{C3380CC4-5D6E-409C-BE32-E72D297353CC}">
              <c16:uniqueId val="{00000000-CA96-47C4-9480-B1F73454BE1E}"/>
            </c:ext>
          </c:extLst>
        </c:ser>
        <c:ser>
          <c:idx val="2"/>
          <c:order val="2"/>
          <c:tx>
            <c:strRef>
              <c:f>'alpha capm'!$D$15</c:f>
              <c:strCache>
                <c:ptCount val="1"/>
                <c:pt idx="0">
                  <c:v>Lower Bound</c:v>
                </c:pt>
              </c:strCache>
            </c:strRef>
          </c:tx>
          <c:spPr>
            <a:solidFill>
              <a:schemeClr val="bg1"/>
            </a:solidFill>
            <a:ln>
              <a:solidFill>
                <a:schemeClr val="bg1"/>
              </a:solidFill>
            </a:ln>
            <a:effectLst/>
          </c:spPr>
          <c:cat>
            <c:strRef>
              <c:f>'alpha capm'!$A$16:$A$26</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capm'!$D$16:$D$26</c:f>
              <c:numCache>
                <c:formatCode>General</c:formatCode>
                <c:ptCount val="11"/>
                <c:pt idx="0">
                  <c:v>1.0109999999999995</c:v>
                </c:pt>
                <c:pt idx="1">
                  <c:v>1.0649999999999995</c:v>
                </c:pt>
                <c:pt idx="2">
                  <c:v>1.069</c:v>
                </c:pt>
                <c:pt idx="3">
                  <c:v>1.1199999999999994</c:v>
                </c:pt>
                <c:pt idx="4">
                  <c:v>1.107</c:v>
                </c:pt>
                <c:pt idx="5">
                  <c:v>1.093</c:v>
                </c:pt>
                <c:pt idx="6">
                  <c:v>1.129</c:v>
                </c:pt>
                <c:pt idx="7">
                  <c:v>1.0840000000000001</c:v>
                </c:pt>
                <c:pt idx="8">
                  <c:v>1.107</c:v>
                </c:pt>
                <c:pt idx="9">
                  <c:v>1.135</c:v>
                </c:pt>
                <c:pt idx="10">
                  <c:v>1.127</c:v>
                </c:pt>
              </c:numCache>
            </c:numRef>
          </c:val>
          <c:extLst xmlns:c16r2="http://schemas.microsoft.com/office/drawing/2015/06/chart">
            <c:ext xmlns:c16="http://schemas.microsoft.com/office/drawing/2014/chart" uri="{C3380CC4-5D6E-409C-BE32-E72D297353CC}">
              <c16:uniqueId val="{00000001-CA96-47C4-9480-B1F73454BE1E}"/>
            </c:ext>
          </c:extLst>
        </c:ser>
        <c:ser>
          <c:idx val="4"/>
          <c:order val="4"/>
          <c:tx>
            <c:strRef>
              <c:f>'alpha capm'!$F$15</c:f>
              <c:strCache>
                <c:ptCount val="1"/>
                <c:pt idx="0">
                  <c:v>Upper Bound</c:v>
                </c:pt>
              </c:strCache>
            </c:strRef>
          </c:tx>
          <c:spPr>
            <a:solidFill>
              <a:schemeClr val="accent1">
                <a:lumMod val="40000"/>
                <a:lumOff val="60000"/>
              </a:schemeClr>
            </a:solidFill>
            <a:ln>
              <a:solidFill>
                <a:schemeClr val="accent1">
                  <a:lumMod val="40000"/>
                  <a:lumOff val="60000"/>
                </a:schemeClr>
              </a:solidFill>
            </a:ln>
            <a:effectLst/>
          </c:spPr>
          <c:cat>
            <c:strRef>
              <c:f>'alpha capm'!$A$16:$A$26</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capm'!$F$16:$F$26</c:f>
              <c:numCache>
                <c:formatCode>General</c:formatCode>
                <c:ptCount val="11"/>
                <c:pt idx="0">
                  <c:v>0.9750000000000002</c:v>
                </c:pt>
                <c:pt idx="1">
                  <c:v>0.94600000000000029</c:v>
                </c:pt>
                <c:pt idx="2">
                  <c:v>0.93500000000000005</c:v>
                </c:pt>
                <c:pt idx="3">
                  <c:v>0.90700000000000003</c:v>
                </c:pt>
                <c:pt idx="4">
                  <c:v>0.91900000000000004</c:v>
                </c:pt>
                <c:pt idx="5">
                  <c:v>0.92400000000000004</c:v>
                </c:pt>
                <c:pt idx="6">
                  <c:v>0.89900000000000002</c:v>
                </c:pt>
                <c:pt idx="7">
                  <c:v>0.92200000000000004</c:v>
                </c:pt>
                <c:pt idx="8">
                  <c:v>0.93100000000000005</c:v>
                </c:pt>
                <c:pt idx="9">
                  <c:v>0.92300000000000004</c:v>
                </c:pt>
                <c:pt idx="10">
                  <c:v>0.87300000000000022</c:v>
                </c:pt>
              </c:numCache>
            </c:numRef>
          </c:val>
          <c:extLst xmlns:c16r2="http://schemas.microsoft.com/office/drawing/2015/06/chart">
            <c:ext xmlns:c16="http://schemas.microsoft.com/office/drawing/2014/chart" uri="{C3380CC4-5D6E-409C-BE32-E72D297353CC}">
              <c16:uniqueId val="{00000002-CA96-47C4-9480-B1F73454BE1E}"/>
            </c:ext>
          </c:extLst>
        </c:ser>
        <c:ser>
          <c:idx val="5"/>
          <c:order val="5"/>
          <c:tx>
            <c:strRef>
              <c:f>'alpha capm'!$G$15</c:f>
              <c:strCache>
                <c:ptCount val="1"/>
                <c:pt idx="0">
                  <c:v>Lower Bound</c:v>
                </c:pt>
              </c:strCache>
            </c:strRef>
          </c:tx>
          <c:spPr>
            <a:solidFill>
              <a:schemeClr val="bg1"/>
            </a:solidFill>
            <a:ln>
              <a:solidFill>
                <a:schemeClr val="bg1"/>
              </a:solidFill>
            </a:ln>
            <a:effectLst/>
          </c:spPr>
          <c:cat>
            <c:strRef>
              <c:f>'alpha capm'!$A$16:$A$26</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capm'!$G$16:$G$26</c:f>
              <c:numCache>
                <c:formatCode>General</c:formatCode>
                <c:ptCount val="11"/>
                <c:pt idx="0">
                  <c:v>0.93499999999999994</c:v>
                </c:pt>
                <c:pt idx="1">
                  <c:v>0.91</c:v>
                </c:pt>
                <c:pt idx="2">
                  <c:v>0.89500000000000002</c:v>
                </c:pt>
                <c:pt idx="3">
                  <c:v>0.86700000000000021</c:v>
                </c:pt>
                <c:pt idx="4">
                  <c:v>0.87900000000000023</c:v>
                </c:pt>
                <c:pt idx="5">
                  <c:v>0.88400000000000001</c:v>
                </c:pt>
                <c:pt idx="6">
                  <c:v>0.86300000000000021</c:v>
                </c:pt>
                <c:pt idx="7">
                  <c:v>0.88200000000000001</c:v>
                </c:pt>
                <c:pt idx="8">
                  <c:v>0.89500000000000002</c:v>
                </c:pt>
                <c:pt idx="9">
                  <c:v>0.88700000000000001</c:v>
                </c:pt>
                <c:pt idx="10">
                  <c:v>0.83300000000000018</c:v>
                </c:pt>
              </c:numCache>
            </c:numRef>
          </c:val>
          <c:extLst xmlns:c16r2="http://schemas.microsoft.com/office/drawing/2015/06/chart">
            <c:ext xmlns:c16="http://schemas.microsoft.com/office/drawing/2014/chart" uri="{C3380CC4-5D6E-409C-BE32-E72D297353CC}">
              <c16:uniqueId val="{00000003-CA96-47C4-9480-B1F73454BE1E}"/>
            </c:ext>
          </c:extLst>
        </c:ser>
        <c:axId val="84397440"/>
        <c:axId val="84427904"/>
      </c:areaChart>
      <c:lineChart>
        <c:grouping val="standard"/>
        <c:ser>
          <c:idx val="0"/>
          <c:order val="0"/>
          <c:tx>
            <c:strRef>
              <c:f>'alpha capm'!$B$15</c:f>
              <c:strCache>
                <c:ptCount val="1"/>
                <c:pt idx="0">
                  <c:v>FL</c:v>
                </c:pt>
              </c:strCache>
            </c:strRef>
          </c:tx>
          <c:spPr>
            <a:ln w="28575" cap="rnd">
              <a:solidFill>
                <a:schemeClr val="accent1"/>
              </a:solidFill>
              <a:round/>
            </a:ln>
            <a:effectLst/>
          </c:spPr>
          <c:marker>
            <c:symbol val="none"/>
          </c:marker>
          <c:cat>
            <c:strRef>
              <c:f>'alpha capm'!$A$16:$A$26</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capm'!$B$16:$B$26</c:f>
              <c:numCache>
                <c:formatCode>General</c:formatCode>
                <c:ptCount val="11"/>
                <c:pt idx="0">
                  <c:v>1.0269999999999995</c:v>
                </c:pt>
                <c:pt idx="1">
                  <c:v>1.081</c:v>
                </c:pt>
                <c:pt idx="2">
                  <c:v>1.085</c:v>
                </c:pt>
                <c:pt idx="3">
                  <c:v>1.1359999999999995</c:v>
                </c:pt>
                <c:pt idx="4">
                  <c:v>1.123</c:v>
                </c:pt>
                <c:pt idx="5">
                  <c:v>1.109</c:v>
                </c:pt>
                <c:pt idx="6">
                  <c:v>1.147</c:v>
                </c:pt>
                <c:pt idx="7">
                  <c:v>1.1000000000000001</c:v>
                </c:pt>
                <c:pt idx="8">
                  <c:v>1.125</c:v>
                </c:pt>
                <c:pt idx="9">
                  <c:v>1.153</c:v>
                </c:pt>
                <c:pt idx="10">
                  <c:v>1.145</c:v>
                </c:pt>
              </c:numCache>
            </c:numRef>
          </c:val>
          <c:extLst xmlns:c16r2="http://schemas.microsoft.com/office/drawing/2015/06/chart">
            <c:ext xmlns:c16="http://schemas.microsoft.com/office/drawing/2014/chart" uri="{C3380CC4-5D6E-409C-BE32-E72D297353CC}">
              <c16:uniqueId val="{00000004-CA96-47C4-9480-B1F73454BE1E}"/>
            </c:ext>
          </c:extLst>
        </c:ser>
        <c:ser>
          <c:idx val="3"/>
          <c:order val="3"/>
          <c:tx>
            <c:strRef>
              <c:f>'alpha capm'!$E$15</c:f>
              <c:strCache>
                <c:ptCount val="1"/>
                <c:pt idx="0">
                  <c:v>NFL</c:v>
                </c:pt>
              </c:strCache>
            </c:strRef>
          </c:tx>
          <c:spPr>
            <a:ln w="28575" cap="rnd">
              <a:solidFill>
                <a:schemeClr val="accent4"/>
              </a:solidFill>
              <a:round/>
            </a:ln>
            <a:effectLst/>
          </c:spPr>
          <c:marker>
            <c:symbol val="none"/>
          </c:marker>
          <c:cat>
            <c:strRef>
              <c:f>'alpha capm'!$A$16:$A$26</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capm'!$E$16:$E$26</c:f>
              <c:numCache>
                <c:formatCode>General</c:formatCode>
                <c:ptCount val="11"/>
                <c:pt idx="0">
                  <c:v>0.95500000000000018</c:v>
                </c:pt>
                <c:pt idx="1">
                  <c:v>0.92800000000000005</c:v>
                </c:pt>
                <c:pt idx="2">
                  <c:v>0.91500000000000004</c:v>
                </c:pt>
                <c:pt idx="3">
                  <c:v>0.88700000000000001</c:v>
                </c:pt>
                <c:pt idx="4">
                  <c:v>0.89900000000000002</c:v>
                </c:pt>
                <c:pt idx="5">
                  <c:v>0.90400000000000003</c:v>
                </c:pt>
                <c:pt idx="6">
                  <c:v>0.88100000000000001</c:v>
                </c:pt>
                <c:pt idx="7">
                  <c:v>0.90200000000000002</c:v>
                </c:pt>
                <c:pt idx="8">
                  <c:v>0.91300000000000003</c:v>
                </c:pt>
                <c:pt idx="9">
                  <c:v>0.90500000000000003</c:v>
                </c:pt>
                <c:pt idx="10">
                  <c:v>0.8530000000000002</c:v>
                </c:pt>
              </c:numCache>
            </c:numRef>
          </c:val>
          <c:extLst xmlns:c16r2="http://schemas.microsoft.com/office/drawing/2015/06/chart">
            <c:ext xmlns:c16="http://schemas.microsoft.com/office/drawing/2014/chart" uri="{C3380CC4-5D6E-409C-BE32-E72D297353CC}">
              <c16:uniqueId val="{00000005-CA96-47C4-9480-B1F73454BE1E}"/>
            </c:ext>
          </c:extLst>
        </c:ser>
        <c:marker val="1"/>
        <c:axId val="84397440"/>
        <c:axId val="84427904"/>
      </c:lineChart>
      <c:catAx>
        <c:axId val="8439744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427904"/>
        <c:crosses val="autoZero"/>
        <c:auto val="1"/>
        <c:lblAlgn val="ctr"/>
        <c:lblOffset val="100"/>
      </c:catAx>
      <c:valAx>
        <c:axId val="84427904"/>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397440"/>
        <c:crosses val="autoZero"/>
        <c:crossBetween val="between"/>
      </c:valAx>
      <c:spPr>
        <a:noFill/>
        <a:ln>
          <a:noFill/>
        </a:ln>
        <a:effectLst/>
      </c:spPr>
    </c:plotArea>
    <c:legend>
      <c:legendPos val="b"/>
      <c:layout>
        <c:manualLayout>
          <c:xMode val="edge"/>
          <c:yMode val="edge"/>
          <c:x val="4.9999952833258983E-2"/>
          <c:y val="0.92575329828682118"/>
          <c:w val="0.89999986794104814"/>
          <c:h val="7.0093971461875723E-2"/>
        </c:manualLayout>
      </c:layout>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Alpha Returns of Both Portfolios</a:t>
            </a:r>
          </a:p>
        </c:rich>
      </c:tx>
      <c:spPr>
        <a:noFill/>
        <a:ln>
          <a:noFill/>
        </a:ln>
        <a:effectLst/>
      </c:spPr>
    </c:title>
    <c:plotArea>
      <c:layout/>
      <c:areaChart>
        <c:grouping val="standard"/>
        <c:ser>
          <c:idx val="1"/>
          <c:order val="1"/>
          <c:tx>
            <c:strRef>
              <c:f>'ALPHA fm'!$C$1</c:f>
              <c:strCache>
                <c:ptCount val="1"/>
                <c:pt idx="0">
                  <c:v>Upper Bound</c:v>
                </c:pt>
              </c:strCache>
            </c:strRef>
          </c:tx>
          <c:spPr>
            <a:solidFill>
              <a:schemeClr val="accent1">
                <a:lumMod val="40000"/>
                <a:lumOff val="60000"/>
              </a:schemeClr>
            </a:solidFill>
            <a:ln>
              <a:noFill/>
            </a:ln>
            <a:effectLst/>
          </c:spPr>
          <c:cat>
            <c:strRef>
              <c:f>'ALPHA fm'!$A$2:$A$12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fm'!$C$2:$C$12</c:f>
              <c:numCache>
                <c:formatCode>General</c:formatCode>
                <c:ptCount val="11"/>
                <c:pt idx="0">
                  <c:v>4.2569999999999997</c:v>
                </c:pt>
                <c:pt idx="1">
                  <c:v>4.594999999999998</c:v>
                </c:pt>
                <c:pt idx="2">
                  <c:v>5.1139999999999981</c:v>
                </c:pt>
                <c:pt idx="3">
                  <c:v>7.0669999999999984</c:v>
                </c:pt>
                <c:pt idx="4">
                  <c:v>8.016</c:v>
                </c:pt>
                <c:pt idx="5">
                  <c:v>4.859</c:v>
                </c:pt>
                <c:pt idx="6">
                  <c:v>8.4040000000000035</c:v>
                </c:pt>
                <c:pt idx="7">
                  <c:v>8.2289999999999992</c:v>
                </c:pt>
                <c:pt idx="8">
                  <c:v>10.756</c:v>
                </c:pt>
                <c:pt idx="9">
                  <c:v>11.104000000000001</c:v>
                </c:pt>
                <c:pt idx="10">
                  <c:v>10.942</c:v>
                </c:pt>
              </c:numCache>
            </c:numRef>
          </c:val>
          <c:extLst xmlns:c16r2="http://schemas.microsoft.com/office/drawing/2015/06/chart">
            <c:ext xmlns:c16="http://schemas.microsoft.com/office/drawing/2014/chart" uri="{C3380CC4-5D6E-409C-BE32-E72D297353CC}">
              <c16:uniqueId val="{00000000-AB70-4107-8A6B-7CBD2F24D534}"/>
            </c:ext>
          </c:extLst>
        </c:ser>
        <c:ser>
          <c:idx val="2"/>
          <c:order val="2"/>
          <c:tx>
            <c:strRef>
              <c:f>'ALPHA fm'!$D$1</c:f>
              <c:strCache>
                <c:ptCount val="1"/>
                <c:pt idx="0">
                  <c:v>Lower Bound</c:v>
                </c:pt>
              </c:strCache>
            </c:strRef>
          </c:tx>
          <c:spPr>
            <a:solidFill>
              <a:schemeClr val="bg1"/>
            </a:solidFill>
            <a:ln>
              <a:noFill/>
            </a:ln>
            <a:effectLst/>
          </c:spPr>
          <c:cat>
            <c:strRef>
              <c:f>'ALPHA fm'!$A$2:$A$12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fm'!$D$2:$D$12</c:f>
              <c:numCache>
                <c:formatCode>General</c:formatCode>
                <c:ptCount val="11"/>
                <c:pt idx="0">
                  <c:v>1.6009999999999998</c:v>
                </c:pt>
                <c:pt idx="1">
                  <c:v>1.8509999999999998</c:v>
                </c:pt>
                <c:pt idx="2">
                  <c:v>2.4979999999999998</c:v>
                </c:pt>
                <c:pt idx="3">
                  <c:v>4.3149999999999977</c:v>
                </c:pt>
                <c:pt idx="4">
                  <c:v>5.0719999999999992</c:v>
                </c:pt>
                <c:pt idx="5">
                  <c:v>2.1230000000000002</c:v>
                </c:pt>
                <c:pt idx="6">
                  <c:v>5.5400000000000009</c:v>
                </c:pt>
                <c:pt idx="7">
                  <c:v>5.6649999999999974</c:v>
                </c:pt>
                <c:pt idx="8">
                  <c:v>7.7759999999999998</c:v>
                </c:pt>
                <c:pt idx="9">
                  <c:v>8.0840000000000014</c:v>
                </c:pt>
                <c:pt idx="10">
                  <c:v>8.1780000000000008</c:v>
                </c:pt>
              </c:numCache>
            </c:numRef>
          </c:val>
          <c:extLst xmlns:c16r2="http://schemas.microsoft.com/office/drawing/2015/06/chart">
            <c:ext xmlns:c16="http://schemas.microsoft.com/office/drawing/2014/chart" uri="{C3380CC4-5D6E-409C-BE32-E72D297353CC}">
              <c16:uniqueId val="{00000001-AB70-4107-8A6B-7CBD2F24D534}"/>
            </c:ext>
          </c:extLst>
        </c:ser>
        <c:ser>
          <c:idx val="4"/>
          <c:order val="4"/>
          <c:tx>
            <c:strRef>
              <c:f>'ALPHA fm'!$F$1</c:f>
              <c:strCache>
                <c:ptCount val="1"/>
                <c:pt idx="0">
                  <c:v>Upper bound</c:v>
                </c:pt>
              </c:strCache>
            </c:strRef>
          </c:tx>
          <c:spPr>
            <a:solidFill>
              <a:schemeClr val="accent1">
                <a:lumMod val="40000"/>
                <a:lumOff val="60000"/>
              </a:schemeClr>
            </a:solidFill>
            <a:ln>
              <a:noFill/>
            </a:ln>
            <a:effectLst/>
          </c:spPr>
          <c:cat>
            <c:strRef>
              <c:f>'ALPHA fm'!$A$2:$A$12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fm'!$F$2:$F$12</c:f>
              <c:numCache>
                <c:formatCode>General</c:formatCode>
                <c:ptCount val="11"/>
                <c:pt idx="0">
                  <c:v>3.2050000000000001</c:v>
                </c:pt>
                <c:pt idx="1">
                  <c:v>3.5549999999999997</c:v>
                </c:pt>
                <c:pt idx="2">
                  <c:v>3.3729999999999993</c:v>
                </c:pt>
                <c:pt idx="3">
                  <c:v>3.6619999999999999</c:v>
                </c:pt>
                <c:pt idx="4">
                  <c:v>3.9530000000000003</c:v>
                </c:pt>
                <c:pt idx="5">
                  <c:v>4.7459999999999996</c:v>
                </c:pt>
                <c:pt idx="6">
                  <c:v>4.7839999999999998</c:v>
                </c:pt>
                <c:pt idx="7">
                  <c:v>0.80500000000000038</c:v>
                </c:pt>
                <c:pt idx="8">
                  <c:v>1.9640000000000004</c:v>
                </c:pt>
                <c:pt idx="9">
                  <c:v>1.716</c:v>
                </c:pt>
                <c:pt idx="10">
                  <c:v>0.75500000000000034</c:v>
                </c:pt>
              </c:numCache>
            </c:numRef>
          </c:val>
          <c:extLst xmlns:c16r2="http://schemas.microsoft.com/office/drawing/2015/06/chart">
            <c:ext xmlns:c16="http://schemas.microsoft.com/office/drawing/2014/chart" uri="{C3380CC4-5D6E-409C-BE32-E72D297353CC}">
              <c16:uniqueId val="{00000002-AB70-4107-8A6B-7CBD2F24D534}"/>
            </c:ext>
          </c:extLst>
        </c:ser>
        <c:ser>
          <c:idx val="5"/>
          <c:order val="5"/>
          <c:tx>
            <c:strRef>
              <c:f>'ALPHA fm'!$G$1</c:f>
              <c:strCache>
                <c:ptCount val="1"/>
                <c:pt idx="0">
                  <c:v>Lower bound</c:v>
                </c:pt>
              </c:strCache>
            </c:strRef>
          </c:tx>
          <c:spPr>
            <a:solidFill>
              <a:schemeClr val="bg1"/>
            </a:solidFill>
            <a:ln>
              <a:noFill/>
            </a:ln>
            <a:effectLst/>
          </c:spPr>
          <c:cat>
            <c:strRef>
              <c:f>'ALPHA fm'!$A$2:$A$12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fm'!$G$2:$G$12</c:f>
              <c:numCache>
                <c:formatCode>General</c:formatCode>
                <c:ptCount val="11"/>
                <c:pt idx="0">
                  <c:v>0.11699999999999998</c:v>
                </c:pt>
                <c:pt idx="1">
                  <c:v>0.35500000000000009</c:v>
                </c:pt>
                <c:pt idx="2">
                  <c:v>-2.9999999999998908E-3</c:v>
                </c:pt>
                <c:pt idx="3">
                  <c:v>0.35800000000000004</c:v>
                </c:pt>
                <c:pt idx="4">
                  <c:v>0.82099999999999995</c:v>
                </c:pt>
                <c:pt idx="5">
                  <c:v>1.45</c:v>
                </c:pt>
                <c:pt idx="6">
                  <c:v>1.7519999999999993</c:v>
                </c:pt>
                <c:pt idx="7">
                  <c:v>-2.8349999999999991</c:v>
                </c:pt>
                <c:pt idx="8">
                  <c:v>-1.2320000000000002</c:v>
                </c:pt>
                <c:pt idx="9">
                  <c:v>-1.4079999999999995</c:v>
                </c:pt>
                <c:pt idx="10">
                  <c:v>-2.9049999999999998</c:v>
                </c:pt>
              </c:numCache>
            </c:numRef>
          </c:val>
          <c:extLst xmlns:c16r2="http://schemas.microsoft.com/office/drawing/2015/06/chart">
            <c:ext xmlns:c16="http://schemas.microsoft.com/office/drawing/2014/chart" uri="{C3380CC4-5D6E-409C-BE32-E72D297353CC}">
              <c16:uniqueId val="{00000003-AB70-4107-8A6B-7CBD2F24D534}"/>
            </c:ext>
          </c:extLst>
        </c:ser>
        <c:axId val="84462976"/>
        <c:axId val="84550784"/>
      </c:areaChart>
      <c:lineChart>
        <c:grouping val="standard"/>
        <c:ser>
          <c:idx val="0"/>
          <c:order val="0"/>
          <c:tx>
            <c:strRef>
              <c:f>'ALPHA fm'!$B$1</c:f>
              <c:strCache>
                <c:ptCount val="1"/>
                <c:pt idx="0">
                  <c:v>FL</c:v>
                </c:pt>
              </c:strCache>
            </c:strRef>
          </c:tx>
          <c:spPr>
            <a:ln w="28575" cap="rnd">
              <a:solidFill>
                <a:schemeClr val="accent1"/>
              </a:solidFill>
              <a:round/>
            </a:ln>
            <a:effectLst/>
          </c:spPr>
          <c:marker>
            <c:symbol val="none"/>
          </c:marker>
          <c:cat>
            <c:strRef>
              <c:f>'ALPHA fm'!$A$2:$A$12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fm'!$B$2:$B$12</c:f>
              <c:numCache>
                <c:formatCode>General</c:formatCode>
                <c:ptCount val="11"/>
                <c:pt idx="0">
                  <c:v>2.9289999999999998</c:v>
                </c:pt>
                <c:pt idx="1">
                  <c:v>3.2229999999999999</c:v>
                </c:pt>
                <c:pt idx="2">
                  <c:v>3.8059999999999992</c:v>
                </c:pt>
                <c:pt idx="3">
                  <c:v>5.6909999999999981</c:v>
                </c:pt>
                <c:pt idx="4">
                  <c:v>6.5439999999999996</c:v>
                </c:pt>
                <c:pt idx="5">
                  <c:v>3.4909999999999997</c:v>
                </c:pt>
                <c:pt idx="6">
                  <c:v>6.9720000000000004</c:v>
                </c:pt>
                <c:pt idx="7">
                  <c:v>6.9470000000000001</c:v>
                </c:pt>
                <c:pt idx="8">
                  <c:v>9.266</c:v>
                </c:pt>
                <c:pt idx="9">
                  <c:v>9.5940000000000012</c:v>
                </c:pt>
                <c:pt idx="10">
                  <c:v>9.56</c:v>
                </c:pt>
              </c:numCache>
            </c:numRef>
          </c:val>
          <c:extLst xmlns:c16r2="http://schemas.microsoft.com/office/drawing/2015/06/chart">
            <c:ext xmlns:c16="http://schemas.microsoft.com/office/drawing/2014/chart" uri="{C3380CC4-5D6E-409C-BE32-E72D297353CC}">
              <c16:uniqueId val="{00000004-AB70-4107-8A6B-7CBD2F24D534}"/>
            </c:ext>
          </c:extLst>
        </c:ser>
        <c:ser>
          <c:idx val="3"/>
          <c:order val="3"/>
          <c:tx>
            <c:strRef>
              <c:f>'ALPHA fm'!$E$1</c:f>
              <c:strCache>
                <c:ptCount val="1"/>
                <c:pt idx="0">
                  <c:v>NFL</c:v>
                </c:pt>
              </c:strCache>
            </c:strRef>
          </c:tx>
          <c:spPr>
            <a:ln w="28575" cap="rnd">
              <a:solidFill>
                <a:schemeClr val="accent4"/>
              </a:solidFill>
              <a:round/>
            </a:ln>
            <a:effectLst/>
          </c:spPr>
          <c:marker>
            <c:symbol val="none"/>
          </c:marker>
          <c:cat>
            <c:strRef>
              <c:f>'ALPHA fm'!$A$2:$A$12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fm'!$E$2:$E$12</c:f>
              <c:numCache>
                <c:formatCode>General</c:formatCode>
                <c:ptCount val="11"/>
                <c:pt idx="0">
                  <c:v>1.661</c:v>
                </c:pt>
                <c:pt idx="1">
                  <c:v>1.9550000000000001</c:v>
                </c:pt>
                <c:pt idx="2">
                  <c:v>1.6850000000000001</c:v>
                </c:pt>
                <c:pt idx="3">
                  <c:v>2.0099999999999998</c:v>
                </c:pt>
                <c:pt idx="4">
                  <c:v>2.387</c:v>
                </c:pt>
                <c:pt idx="5">
                  <c:v>3.0979999999999999</c:v>
                </c:pt>
                <c:pt idx="6">
                  <c:v>3.2680000000000002</c:v>
                </c:pt>
                <c:pt idx="7">
                  <c:v>-1.0149999999999995</c:v>
                </c:pt>
                <c:pt idx="8">
                  <c:v>0.36600000000000016</c:v>
                </c:pt>
                <c:pt idx="9">
                  <c:v>0.15400000000000005</c:v>
                </c:pt>
                <c:pt idx="10">
                  <c:v>-1.075</c:v>
                </c:pt>
              </c:numCache>
            </c:numRef>
          </c:val>
          <c:extLst xmlns:c16r2="http://schemas.microsoft.com/office/drawing/2015/06/chart">
            <c:ext xmlns:c16="http://schemas.microsoft.com/office/drawing/2014/chart" uri="{C3380CC4-5D6E-409C-BE32-E72D297353CC}">
              <c16:uniqueId val="{00000005-AB70-4107-8A6B-7CBD2F24D534}"/>
            </c:ext>
          </c:extLst>
        </c:ser>
        <c:marker val="1"/>
        <c:axId val="84462976"/>
        <c:axId val="84550784"/>
      </c:lineChart>
      <c:catAx>
        <c:axId val="844629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550784"/>
        <c:crosses val="autoZero"/>
        <c:auto val="1"/>
        <c:lblAlgn val="ctr"/>
        <c:lblOffset val="100"/>
      </c:catAx>
      <c:valAx>
        <c:axId val="84550784"/>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46297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Market Risk</a:t>
            </a:r>
            <a:r>
              <a:rPr lang="en-US" b="1" baseline="0">
                <a:latin typeface="Times New Roman" panose="02020603050405020304" pitchFamily="18" charset="0"/>
                <a:cs typeface="Times New Roman" panose="02020603050405020304" pitchFamily="18" charset="0"/>
              </a:rPr>
              <a:t> of Both Portfolios</a:t>
            </a:r>
            <a:endParaRPr lang="en-US" b="1">
              <a:latin typeface="Times New Roman" panose="02020603050405020304" pitchFamily="18" charset="0"/>
              <a:cs typeface="Times New Roman" panose="02020603050405020304" pitchFamily="18" charset="0"/>
            </a:endParaRPr>
          </a:p>
        </c:rich>
      </c:tx>
      <c:layout>
        <c:manualLayout>
          <c:xMode val="edge"/>
          <c:yMode val="edge"/>
          <c:x val="0.27988437697988944"/>
          <c:y val="3.1963470319634701E-2"/>
        </c:manualLayout>
      </c:layout>
      <c:spPr>
        <a:noFill/>
        <a:ln>
          <a:noFill/>
        </a:ln>
        <a:effectLst/>
      </c:spPr>
    </c:title>
    <c:plotArea>
      <c:layout/>
      <c:areaChart>
        <c:grouping val="standard"/>
        <c:ser>
          <c:idx val="1"/>
          <c:order val="1"/>
          <c:tx>
            <c:strRef>
              <c:f>'ALPHA fm'!$C$14</c:f>
              <c:strCache>
                <c:ptCount val="1"/>
                <c:pt idx="0">
                  <c:v>Upper Bound</c:v>
                </c:pt>
              </c:strCache>
            </c:strRef>
          </c:tx>
          <c:spPr>
            <a:solidFill>
              <a:schemeClr val="accent1">
                <a:lumMod val="40000"/>
                <a:lumOff val="60000"/>
              </a:schemeClr>
            </a:solidFill>
            <a:ln>
              <a:solidFill>
                <a:schemeClr val="bg1"/>
              </a:solidFill>
            </a:ln>
            <a:effectLst/>
          </c:spPr>
          <c:cat>
            <c:strRef>
              <c:f>'ALPHA fm'!$A$15:$A$25</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fm'!$C$15:$C$25</c:f>
              <c:numCache>
                <c:formatCode>General</c:formatCode>
                <c:ptCount val="11"/>
                <c:pt idx="0">
                  <c:v>1.044</c:v>
                </c:pt>
                <c:pt idx="1">
                  <c:v>1.0980000000000001</c:v>
                </c:pt>
                <c:pt idx="2">
                  <c:v>1.1020000000000001</c:v>
                </c:pt>
                <c:pt idx="3">
                  <c:v>1.1539999999999995</c:v>
                </c:pt>
                <c:pt idx="4">
                  <c:v>1.1419999999999995</c:v>
                </c:pt>
                <c:pt idx="5">
                  <c:v>1.127</c:v>
                </c:pt>
                <c:pt idx="6">
                  <c:v>1.1679999999999995</c:v>
                </c:pt>
                <c:pt idx="7">
                  <c:v>1.117</c:v>
                </c:pt>
                <c:pt idx="8">
                  <c:v>1.145</c:v>
                </c:pt>
                <c:pt idx="9">
                  <c:v>1.1719999999999995</c:v>
                </c:pt>
                <c:pt idx="10">
                  <c:v>1.1659999999999995</c:v>
                </c:pt>
              </c:numCache>
            </c:numRef>
          </c:val>
          <c:extLst xmlns:c16r2="http://schemas.microsoft.com/office/drawing/2015/06/chart">
            <c:ext xmlns:c16="http://schemas.microsoft.com/office/drawing/2014/chart" uri="{C3380CC4-5D6E-409C-BE32-E72D297353CC}">
              <c16:uniqueId val="{00000000-07FC-4AAE-9DFD-397ADB53AEA5}"/>
            </c:ext>
          </c:extLst>
        </c:ser>
        <c:ser>
          <c:idx val="2"/>
          <c:order val="2"/>
          <c:tx>
            <c:strRef>
              <c:f>'ALPHA fm'!$D$14</c:f>
              <c:strCache>
                <c:ptCount val="1"/>
                <c:pt idx="0">
                  <c:v>Lower Bound</c:v>
                </c:pt>
              </c:strCache>
            </c:strRef>
          </c:tx>
          <c:spPr>
            <a:solidFill>
              <a:schemeClr val="bg1"/>
            </a:solidFill>
            <a:ln>
              <a:noFill/>
            </a:ln>
            <a:effectLst/>
          </c:spPr>
          <c:cat>
            <c:strRef>
              <c:f>'ALPHA fm'!$A$15:$A$25</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fm'!$D$15:$D$25</c:f>
              <c:numCache>
                <c:formatCode>General</c:formatCode>
                <c:ptCount val="11"/>
                <c:pt idx="0">
                  <c:v>1.012</c:v>
                </c:pt>
                <c:pt idx="1">
                  <c:v>1.0660000000000001</c:v>
                </c:pt>
                <c:pt idx="2">
                  <c:v>1.07</c:v>
                </c:pt>
                <c:pt idx="3">
                  <c:v>1.1219999999999994</c:v>
                </c:pt>
                <c:pt idx="4">
                  <c:v>1.1099999999999994</c:v>
                </c:pt>
                <c:pt idx="5">
                  <c:v>1.095</c:v>
                </c:pt>
                <c:pt idx="6">
                  <c:v>1.1319999999999995</c:v>
                </c:pt>
                <c:pt idx="7">
                  <c:v>1.085</c:v>
                </c:pt>
                <c:pt idx="8">
                  <c:v>1.109</c:v>
                </c:pt>
                <c:pt idx="9">
                  <c:v>1.1359999999999995</c:v>
                </c:pt>
                <c:pt idx="10">
                  <c:v>1.1299999999999994</c:v>
                </c:pt>
              </c:numCache>
            </c:numRef>
          </c:val>
          <c:extLst xmlns:c16r2="http://schemas.microsoft.com/office/drawing/2015/06/chart">
            <c:ext xmlns:c16="http://schemas.microsoft.com/office/drawing/2014/chart" uri="{C3380CC4-5D6E-409C-BE32-E72D297353CC}">
              <c16:uniqueId val="{00000001-07FC-4AAE-9DFD-397ADB53AEA5}"/>
            </c:ext>
          </c:extLst>
        </c:ser>
        <c:axId val="84577664"/>
        <c:axId val="84599936"/>
      </c:areaChart>
      <c:lineChart>
        <c:grouping val="standard"/>
        <c:ser>
          <c:idx val="0"/>
          <c:order val="0"/>
          <c:tx>
            <c:strRef>
              <c:f>'ALPHA fm'!$B$14</c:f>
              <c:strCache>
                <c:ptCount val="1"/>
                <c:pt idx="0">
                  <c:v>FL</c:v>
                </c:pt>
              </c:strCache>
            </c:strRef>
          </c:tx>
          <c:spPr>
            <a:ln w="28575" cap="rnd">
              <a:solidFill>
                <a:schemeClr val="accent1"/>
              </a:solidFill>
              <a:round/>
            </a:ln>
            <a:effectLst/>
          </c:spPr>
          <c:marker>
            <c:symbol val="none"/>
          </c:marker>
          <c:cat>
            <c:strRef>
              <c:f>'ALPHA fm'!$A$15:$A$25</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fm'!$B$15:$B$25</c:f>
              <c:numCache>
                <c:formatCode>General</c:formatCode>
                <c:ptCount val="11"/>
                <c:pt idx="0">
                  <c:v>1.028</c:v>
                </c:pt>
                <c:pt idx="1">
                  <c:v>1.0820000000000001</c:v>
                </c:pt>
                <c:pt idx="2">
                  <c:v>1.0860000000000001</c:v>
                </c:pt>
                <c:pt idx="3">
                  <c:v>1.1379999999999995</c:v>
                </c:pt>
                <c:pt idx="4">
                  <c:v>1.1259999999999994</c:v>
                </c:pt>
                <c:pt idx="5">
                  <c:v>1.111</c:v>
                </c:pt>
                <c:pt idx="6">
                  <c:v>1.1499999999999995</c:v>
                </c:pt>
                <c:pt idx="7">
                  <c:v>1.101</c:v>
                </c:pt>
                <c:pt idx="8">
                  <c:v>1.127</c:v>
                </c:pt>
                <c:pt idx="9">
                  <c:v>1.1539999999999995</c:v>
                </c:pt>
                <c:pt idx="10">
                  <c:v>1.1479999999999995</c:v>
                </c:pt>
              </c:numCache>
            </c:numRef>
          </c:val>
          <c:extLst xmlns:c16r2="http://schemas.microsoft.com/office/drawing/2015/06/chart">
            <c:ext xmlns:c16="http://schemas.microsoft.com/office/drawing/2014/chart" uri="{C3380CC4-5D6E-409C-BE32-E72D297353CC}">
              <c16:uniqueId val="{00000002-07FC-4AAE-9DFD-397ADB53AEA5}"/>
            </c:ext>
          </c:extLst>
        </c:ser>
        <c:ser>
          <c:idx val="3"/>
          <c:order val="3"/>
          <c:tx>
            <c:strRef>
              <c:f>'ALPHA fm'!$E$14</c:f>
              <c:strCache>
                <c:ptCount val="1"/>
                <c:pt idx="0">
                  <c:v>NFL</c:v>
                </c:pt>
              </c:strCache>
            </c:strRef>
          </c:tx>
          <c:spPr>
            <a:ln w="28575" cap="rnd">
              <a:solidFill>
                <a:schemeClr val="accent4"/>
              </a:solidFill>
              <a:round/>
            </a:ln>
            <a:effectLst/>
          </c:spPr>
          <c:marker>
            <c:symbol val="none"/>
          </c:marker>
          <c:cat>
            <c:strRef>
              <c:f>'ALPHA fm'!$A$15:$A$25</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fm'!$E$15:$E$25</c:f>
              <c:numCache>
                <c:formatCode>General</c:formatCode>
                <c:ptCount val="11"/>
                <c:pt idx="0">
                  <c:v>0.96700000000000019</c:v>
                </c:pt>
                <c:pt idx="1">
                  <c:v>0.93899999999999995</c:v>
                </c:pt>
                <c:pt idx="2">
                  <c:v>0.92500000000000004</c:v>
                </c:pt>
                <c:pt idx="3">
                  <c:v>0.89700000000000002</c:v>
                </c:pt>
                <c:pt idx="4">
                  <c:v>0.90900000000000003</c:v>
                </c:pt>
                <c:pt idx="5">
                  <c:v>0.91400000000000003</c:v>
                </c:pt>
                <c:pt idx="6">
                  <c:v>0.89100000000000001</c:v>
                </c:pt>
                <c:pt idx="7">
                  <c:v>0.91400000000000003</c:v>
                </c:pt>
                <c:pt idx="8">
                  <c:v>0.92400000000000004</c:v>
                </c:pt>
                <c:pt idx="9">
                  <c:v>0.91500000000000004</c:v>
                </c:pt>
                <c:pt idx="10">
                  <c:v>0.86300000000000021</c:v>
                </c:pt>
              </c:numCache>
            </c:numRef>
          </c:val>
          <c:extLst xmlns:c16r2="http://schemas.microsoft.com/office/drawing/2015/06/chart">
            <c:ext xmlns:c16="http://schemas.microsoft.com/office/drawing/2014/chart" uri="{C3380CC4-5D6E-409C-BE32-E72D297353CC}">
              <c16:uniqueId val="{00000003-07FC-4AAE-9DFD-397ADB53AEA5}"/>
            </c:ext>
          </c:extLst>
        </c:ser>
        <c:ser>
          <c:idx val="4"/>
          <c:order val="4"/>
          <c:tx>
            <c:strRef>
              <c:f>'ALPHA fm'!$F$14</c:f>
              <c:strCache>
                <c:ptCount val="1"/>
                <c:pt idx="0">
                  <c:v>Upper bound</c:v>
                </c:pt>
              </c:strCache>
            </c:strRef>
          </c:tx>
          <c:spPr>
            <a:ln w="28575" cap="rnd">
              <a:solidFill>
                <a:schemeClr val="accent1">
                  <a:lumMod val="40000"/>
                  <a:lumOff val="60000"/>
                </a:schemeClr>
              </a:solidFill>
              <a:round/>
            </a:ln>
            <a:effectLst/>
          </c:spPr>
          <c:marker>
            <c:symbol val="none"/>
          </c:marker>
          <c:cat>
            <c:strRef>
              <c:f>'ALPHA fm'!$A$15:$A$25</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fm'!$F$15:$F$25</c:f>
              <c:numCache>
                <c:formatCode>General</c:formatCode>
                <c:ptCount val="11"/>
                <c:pt idx="0">
                  <c:v>0.98699999999999999</c:v>
                </c:pt>
                <c:pt idx="1">
                  <c:v>0.95900000000000019</c:v>
                </c:pt>
                <c:pt idx="2">
                  <c:v>0.94500000000000028</c:v>
                </c:pt>
                <c:pt idx="3">
                  <c:v>0.91700000000000004</c:v>
                </c:pt>
                <c:pt idx="4">
                  <c:v>0.92900000000000005</c:v>
                </c:pt>
                <c:pt idx="5">
                  <c:v>0.93400000000000005</c:v>
                </c:pt>
                <c:pt idx="6">
                  <c:v>0.90900000000000003</c:v>
                </c:pt>
                <c:pt idx="7">
                  <c:v>0.93400000000000005</c:v>
                </c:pt>
                <c:pt idx="8">
                  <c:v>0.94200000000000028</c:v>
                </c:pt>
                <c:pt idx="9">
                  <c:v>0.93300000000000005</c:v>
                </c:pt>
                <c:pt idx="10">
                  <c:v>0.88300000000000001</c:v>
                </c:pt>
              </c:numCache>
            </c:numRef>
          </c:val>
          <c:extLst xmlns:c16r2="http://schemas.microsoft.com/office/drawing/2015/06/chart">
            <c:ext xmlns:c16="http://schemas.microsoft.com/office/drawing/2014/chart" uri="{C3380CC4-5D6E-409C-BE32-E72D297353CC}">
              <c16:uniqueId val="{00000004-07FC-4AAE-9DFD-397ADB53AEA5}"/>
            </c:ext>
          </c:extLst>
        </c:ser>
        <c:ser>
          <c:idx val="5"/>
          <c:order val="5"/>
          <c:tx>
            <c:strRef>
              <c:f>'ALPHA fm'!$G$14</c:f>
              <c:strCache>
                <c:ptCount val="1"/>
                <c:pt idx="0">
                  <c:v>Lower bound</c:v>
                </c:pt>
              </c:strCache>
            </c:strRef>
          </c:tx>
          <c:spPr>
            <a:ln w="28575" cap="rnd">
              <a:solidFill>
                <a:schemeClr val="bg1"/>
              </a:solidFill>
              <a:round/>
            </a:ln>
            <a:effectLst/>
          </c:spPr>
          <c:marker>
            <c:symbol val="none"/>
          </c:marker>
          <c:cat>
            <c:strRef>
              <c:f>'ALPHA fm'!$A$15:$A$25</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'ALPHA fm'!$G$15:$G$25</c:f>
              <c:numCache>
                <c:formatCode>General</c:formatCode>
                <c:ptCount val="11"/>
                <c:pt idx="0">
                  <c:v>0.94699999999999995</c:v>
                </c:pt>
                <c:pt idx="1">
                  <c:v>0.91899999999999993</c:v>
                </c:pt>
                <c:pt idx="2">
                  <c:v>0.90500000000000003</c:v>
                </c:pt>
                <c:pt idx="3">
                  <c:v>0.87700000000000022</c:v>
                </c:pt>
                <c:pt idx="4">
                  <c:v>0.88900000000000001</c:v>
                </c:pt>
                <c:pt idx="5">
                  <c:v>0.89400000000000002</c:v>
                </c:pt>
                <c:pt idx="6">
                  <c:v>0.87300000000000022</c:v>
                </c:pt>
                <c:pt idx="7">
                  <c:v>0.89400000000000002</c:v>
                </c:pt>
                <c:pt idx="8">
                  <c:v>0.90600000000000003</c:v>
                </c:pt>
                <c:pt idx="9">
                  <c:v>0.89700000000000002</c:v>
                </c:pt>
                <c:pt idx="10">
                  <c:v>0.84300000000000019</c:v>
                </c:pt>
              </c:numCache>
            </c:numRef>
          </c:val>
          <c:extLst xmlns:c16r2="http://schemas.microsoft.com/office/drawing/2015/06/chart">
            <c:ext xmlns:c16="http://schemas.microsoft.com/office/drawing/2014/chart" uri="{C3380CC4-5D6E-409C-BE32-E72D297353CC}">
              <c16:uniqueId val="{00000005-07FC-4AAE-9DFD-397ADB53AEA5}"/>
            </c:ext>
          </c:extLst>
        </c:ser>
        <c:marker val="1"/>
        <c:axId val="84577664"/>
        <c:axId val="84599936"/>
      </c:lineChart>
      <c:catAx>
        <c:axId val="8457766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599936"/>
        <c:crosses val="autoZero"/>
        <c:auto val="1"/>
        <c:lblAlgn val="ctr"/>
        <c:lblOffset val="100"/>
      </c:catAx>
      <c:valAx>
        <c:axId val="84599936"/>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57766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Co-effcicient</a:t>
            </a:r>
            <a:r>
              <a:rPr lang="en-US" b="1" baseline="0">
                <a:latin typeface="Times New Roman" panose="02020603050405020304" pitchFamily="18" charset="0"/>
                <a:cs typeface="Times New Roman" panose="02020603050405020304" pitchFamily="18" charset="0"/>
              </a:rPr>
              <a:t> of Size Proxy for Both Portfolios</a:t>
            </a:r>
            <a:endParaRPr lang="en-US" b="1">
              <a:latin typeface="Times New Roman" panose="02020603050405020304" pitchFamily="18" charset="0"/>
              <a:cs typeface="Times New Roman" panose="02020603050405020304" pitchFamily="18" charset="0"/>
            </a:endParaRPr>
          </a:p>
        </c:rich>
      </c:tx>
      <c:spPr>
        <a:noFill/>
        <a:ln>
          <a:noFill/>
        </a:ln>
        <a:effectLst/>
      </c:spPr>
    </c:title>
    <c:plotArea>
      <c:layout/>
      <c:areaChart>
        <c:grouping val="standard"/>
        <c:ser>
          <c:idx val="1"/>
          <c:order val="1"/>
          <c:tx>
            <c:strRef>
              <c:f>'size and value'!$C$1</c:f>
              <c:strCache>
                <c:ptCount val="1"/>
                <c:pt idx="0">
                  <c:v>Upper Bound</c:v>
                </c:pt>
              </c:strCache>
            </c:strRef>
          </c:tx>
          <c:spPr>
            <a:solidFill>
              <a:schemeClr val="accent1">
                <a:lumMod val="40000"/>
                <a:lumOff val="60000"/>
              </a:schemeClr>
            </a:solidFill>
            <a:ln>
              <a:noFill/>
            </a:ln>
            <a:effectLst/>
          </c:spPr>
          <c:cat>
            <c:strRef>
              <c:f>'size and value'!$A$2:$A$12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'size and value'!$C$2:$C$12</c:f>
              <c:numCache>
                <c:formatCode>General</c:formatCode>
                <c:ptCount val="11"/>
                <c:pt idx="0">
                  <c:v>-7.1000000000000008E-2</c:v>
                </c:pt>
                <c:pt idx="1">
                  <c:v>-7.1000000000000008E-2</c:v>
                </c:pt>
                <c:pt idx="2">
                  <c:v>-9.1000000000000025E-2</c:v>
                </c:pt>
                <c:pt idx="3">
                  <c:v>-0.15800000000000006</c:v>
                </c:pt>
                <c:pt idx="4">
                  <c:v>-0.18700000000000006</c:v>
                </c:pt>
                <c:pt idx="5">
                  <c:v>-7.4000000000000024E-2</c:v>
                </c:pt>
                <c:pt idx="6">
                  <c:v>-0.2</c:v>
                </c:pt>
                <c:pt idx="7">
                  <c:v>-0.22000000000000003</c:v>
                </c:pt>
                <c:pt idx="8">
                  <c:v>-0.3000000000000001</c:v>
                </c:pt>
                <c:pt idx="9">
                  <c:v>-0.31400000000000011</c:v>
                </c:pt>
                <c:pt idx="10">
                  <c:v>-0.30100000000000016</c:v>
                </c:pt>
              </c:numCache>
            </c:numRef>
          </c:val>
          <c:extLst xmlns:c16r2="http://schemas.microsoft.com/office/drawing/2015/06/chart">
            <c:ext xmlns:c16="http://schemas.microsoft.com/office/drawing/2014/chart" uri="{C3380CC4-5D6E-409C-BE32-E72D297353CC}">
              <c16:uniqueId val="{00000000-069F-4988-B714-8E2B2E7869A3}"/>
            </c:ext>
          </c:extLst>
        </c:ser>
        <c:ser>
          <c:idx val="2"/>
          <c:order val="2"/>
          <c:tx>
            <c:strRef>
              <c:f>'size and value'!$D$1</c:f>
              <c:strCache>
                <c:ptCount val="1"/>
                <c:pt idx="0">
                  <c:v>Lower Bound</c:v>
                </c:pt>
              </c:strCache>
            </c:strRef>
          </c:tx>
          <c:spPr>
            <a:solidFill>
              <a:schemeClr val="bg1"/>
            </a:solidFill>
            <a:ln>
              <a:noFill/>
            </a:ln>
            <a:effectLst/>
          </c:spPr>
          <c:cat>
            <c:strRef>
              <c:f>'size and value'!$A$2:$A$12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'size and value'!$D$2:$D$12</c:f>
              <c:numCache>
                <c:formatCode>General</c:formatCode>
                <c:ptCount val="11"/>
                <c:pt idx="0">
                  <c:v>-0.17500000000000004</c:v>
                </c:pt>
                <c:pt idx="1">
                  <c:v>-0.17900000000000005</c:v>
                </c:pt>
                <c:pt idx="2">
                  <c:v>-0.19500000000000001</c:v>
                </c:pt>
                <c:pt idx="3">
                  <c:v>-0.26600000000000001</c:v>
                </c:pt>
                <c:pt idx="4">
                  <c:v>-0.30300000000000016</c:v>
                </c:pt>
                <c:pt idx="5">
                  <c:v>-0.18200000000000005</c:v>
                </c:pt>
                <c:pt idx="6">
                  <c:v>-0.31200000000000011</c:v>
                </c:pt>
                <c:pt idx="7">
                  <c:v>-0.32000000000000012</c:v>
                </c:pt>
                <c:pt idx="8">
                  <c:v>-0.41600000000000009</c:v>
                </c:pt>
                <c:pt idx="9">
                  <c:v>-0.4300000000000001</c:v>
                </c:pt>
                <c:pt idx="10">
                  <c:v>-0.40900000000000009</c:v>
                </c:pt>
              </c:numCache>
            </c:numRef>
          </c:val>
          <c:extLst xmlns:c16r2="http://schemas.microsoft.com/office/drawing/2015/06/chart">
            <c:ext xmlns:c16="http://schemas.microsoft.com/office/drawing/2014/chart" uri="{C3380CC4-5D6E-409C-BE32-E72D297353CC}">
              <c16:uniqueId val="{00000001-069F-4988-B714-8E2B2E7869A3}"/>
            </c:ext>
          </c:extLst>
        </c:ser>
        <c:ser>
          <c:idx val="4"/>
          <c:order val="4"/>
          <c:tx>
            <c:strRef>
              <c:f>'size and value'!$F$1</c:f>
              <c:strCache>
                <c:ptCount val="1"/>
                <c:pt idx="0">
                  <c:v>Upper Bound</c:v>
                </c:pt>
              </c:strCache>
            </c:strRef>
          </c:tx>
          <c:spPr>
            <a:solidFill>
              <a:schemeClr val="accent1">
                <a:lumMod val="40000"/>
                <a:lumOff val="60000"/>
              </a:schemeClr>
            </a:solidFill>
            <a:ln>
              <a:noFill/>
            </a:ln>
            <a:effectLst/>
          </c:spPr>
          <c:cat>
            <c:strRef>
              <c:f>'size and value'!$A$2:$A$12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'size and value'!$F$2:$F$12</c:f>
              <c:numCache>
                <c:formatCode>General</c:formatCode>
                <c:ptCount val="11"/>
                <c:pt idx="0">
                  <c:v>5.3999999999999999E-2</c:v>
                </c:pt>
                <c:pt idx="1">
                  <c:v>3.9000000000000014E-2</c:v>
                </c:pt>
                <c:pt idx="2">
                  <c:v>5.5000000000000014E-2</c:v>
                </c:pt>
                <c:pt idx="3">
                  <c:v>3.7000000000000012E-2</c:v>
                </c:pt>
                <c:pt idx="4">
                  <c:v>1.7000000000000001E-2</c:v>
                </c:pt>
                <c:pt idx="5">
                  <c:v>-6.9999999999999941E-3</c:v>
                </c:pt>
                <c:pt idx="6">
                  <c:v>-2.3999999999999994E-2</c:v>
                </c:pt>
                <c:pt idx="7">
                  <c:v>0.17600000000000005</c:v>
                </c:pt>
                <c:pt idx="8">
                  <c:v>0.10400000000000002</c:v>
                </c:pt>
                <c:pt idx="9">
                  <c:v>0.111</c:v>
                </c:pt>
                <c:pt idx="10">
                  <c:v>0.17200000000000001</c:v>
                </c:pt>
              </c:numCache>
            </c:numRef>
          </c:val>
          <c:extLst xmlns:c16r2="http://schemas.microsoft.com/office/drawing/2015/06/chart">
            <c:ext xmlns:c16="http://schemas.microsoft.com/office/drawing/2014/chart" uri="{C3380CC4-5D6E-409C-BE32-E72D297353CC}">
              <c16:uniqueId val="{00000002-069F-4988-B714-8E2B2E7869A3}"/>
            </c:ext>
          </c:extLst>
        </c:ser>
        <c:ser>
          <c:idx val="5"/>
          <c:order val="5"/>
          <c:tx>
            <c:strRef>
              <c:f>'size and value'!$G$1</c:f>
              <c:strCache>
                <c:ptCount val="1"/>
                <c:pt idx="0">
                  <c:v>Lower Bound</c:v>
                </c:pt>
              </c:strCache>
            </c:strRef>
          </c:tx>
          <c:spPr>
            <a:solidFill>
              <a:schemeClr val="bg1"/>
            </a:solidFill>
            <a:ln>
              <a:noFill/>
            </a:ln>
            <a:effectLst/>
          </c:spPr>
          <c:cat>
            <c:strRef>
              <c:f>'size and value'!$A$2:$A$12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'size and value'!$G$2:$G$12</c:f>
              <c:numCache>
                <c:formatCode>General</c:formatCode>
                <c:ptCount val="11"/>
                <c:pt idx="0">
                  <c:v>-7.3999999999999996E-2</c:v>
                </c:pt>
                <c:pt idx="1">
                  <c:v>-9.3000000000000055E-2</c:v>
                </c:pt>
                <c:pt idx="2">
                  <c:v>-8.5000000000000006E-2</c:v>
                </c:pt>
                <c:pt idx="3">
                  <c:v>-9.9000000000000046E-2</c:v>
                </c:pt>
                <c:pt idx="4">
                  <c:v>-0.111</c:v>
                </c:pt>
                <c:pt idx="5">
                  <c:v>-0.14300000000000004</c:v>
                </c:pt>
                <c:pt idx="6">
                  <c:v>-0.14800000000000005</c:v>
                </c:pt>
                <c:pt idx="7">
                  <c:v>2.4000000000000011E-2</c:v>
                </c:pt>
                <c:pt idx="8">
                  <c:v>-2.8000000000000004E-2</c:v>
                </c:pt>
                <c:pt idx="9">
                  <c:v>-1.7000000000000001E-2</c:v>
                </c:pt>
                <c:pt idx="10">
                  <c:v>2.0000000000000011E-2</c:v>
                </c:pt>
              </c:numCache>
            </c:numRef>
          </c:val>
          <c:extLst xmlns:c16r2="http://schemas.microsoft.com/office/drawing/2015/06/chart">
            <c:ext xmlns:c16="http://schemas.microsoft.com/office/drawing/2014/chart" uri="{C3380CC4-5D6E-409C-BE32-E72D297353CC}">
              <c16:uniqueId val="{00000003-069F-4988-B714-8E2B2E7869A3}"/>
            </c:ext>
          </c:extLst>
        </c:ser>
        <c:axId val="90041728"/>
        <c:axId val="90588288"/>
      </c:areaChart>
      <c:lineChart>
        <c:grouping val="standard"/>
        <c:ser>
          <c:idx val="0"/>
          <c:order val="0"/>
          <c:tx>
            <c:strRef>
              <c:f>'size and value'!$B$1</c:f>
              <c:strCache>
                <c:ptCount val="1"/>
                <c:pt idx="0">
                  <c:v>FL</c:v>
                </c:pt>
              </c:strCache>
            </c:strRef>
          </c:tx>
          <c:spPr>
            <a:ln w="28575" cap="rnd">
              <a:solidFill>
                <a:schemeClr val="accent1"/>
              </a:solidFill>
              <a:round/>
            </a:ln>
            <a:effectLst/>
          </c:spPr>
          <c:marker>
            <c:symbol val="none"/>
          </c:marker>
          <c:cat>
            <c:strRef>
              <c:f>'size and value'!$A$2:$A$12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'size and value'!$B$2:$B$12</c:f>
              <c:numCache>
                <c:formatCode>General</c:formatCode>
                <c:ptCount val="11"/>
                <c:pt idx="0">
                  <c:v>-0.12300000000000003</c:v>
                </c:pt>
                <c:pt idx="1">
                  <c:v>-0.125</c:v>
                </c:pt>
                <c:pt idx="2">
                  <c:v>-0.14300000000000004</c:v>
                </c:pt>
                <c:pt idx="3">
                  <c:v>-0.21200000000000005</c:v>
                </c:pt>
                <c:pt idx="4">
                  <c:v>-0.24500000000000005</c:v>
                </c:pt>
                <c:pt idx="5">
                  <c:v>-0.128</c:v>
                </c:pt>
                <c:pt idx="6">
                  <c:v>-0.25600000000000001</c:v>
                </c:pt>
                <c:pt idx="7">
                  <c:v>-0.27</c:v>
                </c:pt>
                <c:pt idx="8">
                  <c:v>-0.3580000000000001</c:v>
                </c:pt>
                <c:pt idx="9">
                  <c:v>-0.37200000000000011</c:v>
                </c:pt>
                <c:pt idx="10">
                  <c:v>-0.35500000000000009</c:v>
                </c:pt>
              </c:numCache>
            </c:numRef>
          </c:val>
          <c:extLst xmlns:c16r2="http://schemas.microsoft.com/office/drawing/2015/06/chart">
            <c:ext xmlns:c16="http://schemas.microsoft.com/office/drawing/2014/chart" uri="{C3380CC4-5D6E-409C-BE32-E72D297353CC}">
              <c16:uniqueId val="{00000004-069F-4988-B714-8E2B2E7869A3}"/>
            </c:ext>
          </c:extLst>
        </c:ser>
        <c:ser>
          <c:idx val="3"/>
          <c:order val="3"/>
          <c:tx>
            <c:strRef>
              <c:f>'size and value'!$E$1</c:f>
              <c:strCache>
                <c:ptCount val="1"/>
                <c:pt idx="0">
                  <c:v>NFL</c:v>
                </c:pt>
              </c:strCache>
            </c:strRef>
          </c:tx>
          <c:spPr>
            <a:ln w="28575" cap="rnd">
              <a:solidFill>
                <a:schemeClr val="accent4"/>
              </a:solidFill>
              <a:round/>
            </a:ln>
            <a:effectLst/>
          </c:spPr>
          <c:marker>
            <c:symbol val="none"/>
          </c:marker>
          <c:cat>
            <c:strRef>
              <c:f>'size and value'!$A$2:$A$12</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'size and value'!$E$2:$E$12</c:f>
              <c:numCache>
                <c:formatCode>General</c:formatCode>
                <c:ptCount val="11"/>
                <c:pt idx="0">
                  <c:v>-1.0000000000000004E-2</c:v>
                </c:pt>
                <c:pt idx="1">
                  <c:v>-2.700000000000001E-2</c:v>
                </c:pt>
                <c:pt idx="2">
                  <c:v>-1.4999999999999998E-2</c:v>
                </c:pt>
                <c:pt idx="3">
                  <c:v>-3.100000000000001E-2</c:v>
                </c:pt>
                <c:pt idx="4">
                  <c:v>-4.7000000000000014E-2</c:v>
                </c:pt>
                <c:pt idx="5">
                  <c:v>-7.5000000000000011E-2</c:v>
                </c:pt>
                <c:pt idx="6">
                  <c:v>-8.6000000000000021E-2</c:v>
                </c:pt>
                <c:pt idx="7">
                  <c:v>0.1</c:v>
                </c:pt>
                <c:pt idx="8">
                  <c:v>3.7999999999999999E-2</c:v>
                </c:pt>
                <c:pt idx="9">
                  <c:v>4.7000000000000014E-2</c:v>
                </c:pt>
                <c:pt idx="10">
                  <c:v>9.6000000000000002E-2</c:v>
                </c:pt>
              </c:numCache>
            </c:numRef>
          </c:val>
          <c:extLst xmlns:c16r2="http://schemas.microsoft.com/office/drawing/2015/06/chart">
            <c:ext xmlns:c16="http://schemas.microsoft.com/office/drawing/2014/chart" uri="{C3380CC4-5D6E-409C-BE32-E72D297353CC}">
              <c16:uniqueId val="{00000005-069F-4988-B714-8E2B2E7869A3}"/>
            </c:ext>
          </c:extLst>
        </c:ser>
        <c:marker val="1"/>
        <c:axId val="90041728"/>
        <c:axId val="90588288"/>
      </c:lineChart>
      <c:catAx>
        <c:axId val="9004172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588288"/>
        <c:crosses val="autoZero"/>
        <c:auto val="1"/>
        <c:lblAlgn val="ctr"/>
        <c:lblOffset val="100"/>
      </c:catAx>
      <c:valAx>
        <c:axId val="90588288"/>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04172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Co-efficient</a:t>
            </a:r>
            <a:r>
              <a:rPr lang="en-US" b="1" baseline="0">
                <a:latin typeface="Times New Roman" panose="02020603050405020304" pitchFamily="18" charset="0"/>
                <a:cs typeface="Times New Roman" panose="02020603050405020304" pitchFamily="18" charset="0"/>
              </a:rPr>
              <a:t> of Value Proxy for Both Portfolios </a:t>
            </a:r>
            <a:endParaRPr lang="en-US" b="1">
              <a:latin typeface="Times New Roman" panose="02020603050405020304" pitchFamily="18" charset="0"/>
              <a:cs typeface="Times New Roman" panose="02020603050405020304" pitchFamily="18" charset="0"/>
            </a:endParaRPr>
          </a:p>
        </c:rich>
      </c:tx>
      <c:spPr>
        <a:noFill/>
        <a:ln>
          <a:noFill/>
        </a:ln>
        <a:effectLst/>
      </c:spPr>
    </c:title>
    <c:plotArea>
      <c:layout/>
      <c:areaChart>
        <c:grouping val="standard"/>
        <c:ser>
          <c:idx val="1"/>
          <c:order val="1"/>
          <c:tx>
            <c:strRef>
              <c:f>'size and value'!$C$14</c:f>
              <c:strCache>
                <c:ptCount val="1"/>
                <c:pt idx="0">
                  <c:v>Upper Bound</c:v>
                </c:pt>
              </c:strCache>
            </c:strRef>
          </c:tx>
          <c:spPr>
            <a:solidFill>
              <a:schemeClr val="accent1">
                <a:lumMod val="40000"/>
                <a:lumOff val="60000"/>
              </a:schemeClr>
            </a:solidFill>
            <a:ln>
              <a:noFill/>
            </a:ln>
            <a:effectLst/>
          </c:spPr>
          <c:cat>
            <c:strRef>
              <c:f>'size and value'!$A$15:$A$25</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'size and value'!$C$15:$C$25</c:f>
              <c:numCache>
                <c:formatCode>General</c:formatCode>
                <c:ptCount val="11"/>
                <c:pt idx="0">
                  <c:v>-0.222</c:v>
                </c:pt>
                <c:pt idx="1">
                  <c:v>-0.41000000000000014</c:v>
                </c:pt>
                <c:pt idx="2">
                  <c:v>-0.4820000000000001</c:v>
                </c:pt>
                <c:pt idx="3">
                  <c:v>-0.51800000000000002</c:v>
                </c:pt>
                <c:pt idx="4">
                  <c:v>-0.46500000000000002</c:v>
                </c:pt>
                <c:pt idx="5">
                  <c:v>-0.51200000000000001</c:v>
                </c:pt>
                <c:pt idx="6">
                  <c:v>-0.56099999999999994</c:v>
                </c:pt>
                <c:pt idx="7">
                  <c:v>-0.26400000000000001</c:v>
                </c:pt>
                <c:pt idx="8">
                  <c:v>-0.23400000000000001</c:v>
                </c:pt>
                <c:pt idx="9">
                  <c:v>-0.24800000000000008</c:v>
                </c:pt>
                <c:pt idx="10">
                  <c:v>-0.59</c:v>
                </c:pt>
              </c:numCache>
            </c:numRef>
          </c:val>
          <c:extLst xmlns:c16r2="http://schemas.microsoft.com/office/drawing/2015/06/chart">
            <c:ext xmlns:c16="http://schemas.microsoft.com/office/drawing/2014/chart" uri="{C3380CC4-5D6E-409C-BE32-E72D297353CC}">
              <c16:uniqueId val="{00000000-7C93-4CEE-AD5C-276FF07486E9}"/>
            </c:ext>
          </c:extLst>
        </c:ser>
        <c:ser>
          <c:idx val="2"/>
          <c:order val="2"/>
          <c:tx>
            <c:strRef>
              <c:f>'size and value'!$D$14</c:f>
              <c:strCache>
                <c:ptCount val="1"/>
                <c:pt idx="0">
                  <c:v>Lower Bound</c:v>
                </c:pt>
              </c:strCache>
            </c:strRef>
          </c:tx>
          <c:spPr>
            <a:solidFill>
              <a:schemeClr val="bg1"/>
            </a:solidFill>
            <a:ln>
              <a:noFill/>
            </a:ln>
            <a:effectLst/>
          </c:spPr>
          <c:cat>
            <c:strRef>
              <c:f>'size and value'!$A$15:$A$25</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'size and value'!$D$15:$D$25</c:f>
              <c:numCache>
                <c:formatCode>General</c:formatCode>
                <c:ptCount val="11"/>
                <c:pt idx="0">
                  <c:v>-0.47400000000000009</c:v>
                </c:pt>
                <c:pt idx="1">
                  <c:v>-0.67400000000000027</c:v>
                </c:pt>
                <c:pt idx="2">
                  <c:v>-0.73800000000000021</c:v>
                </c:pt>
                <c:pt idx="3">
                  <c:v>-0.78200000000000003</c:v>
                </c:pt>
                <c:pt idx="4">
                  <c:v>-0.75700000000000023</c:v>
                </c:pt>
                <c:pt idx="5">
                  <c:v>-0.78400000000000003</c:v>
                </c:pt>
                <c:pt idx="6">
                  <c:v>-0.84100000000000019</c:v>
                </c:pt>
                <c:pt idx="7">
                  <c:v>-0.55199999999999994</c:v>
                </c:pt>
                <c:pt idx="8">
                  <c:v>-0.52200000000000002</c:v>
                </c:pt>
                <c:pt idx="9">
                  <c:v>-0.54800000000000004</c:v>
                </c:pt>
                <c:pt idx="10">
                  <c:v>-0.87400000000000022</c:v>
                </c:pt>
              </c:numCache>
            </c:numRef>
          </c:val>
          <c:extLst xmlns:c16r2="http://schemas.microsoft.com/office/drawing/2015/06/chart">
            <c:ext xmlns:c16="http://schemas.microsoft.com/office/drawing/2014/chart" uri="{C3380CC4-5D6E-409C-BE32-E72D297353CC}">
              <c16:uniqueId val="{00000001-7C93-4CEE-AD5C-276FF07486E9}"/>
            </c:ext>
          </c:extLst>
        </c:ser>
        <c:ser>
          <c:idx val="4"/>
          <c:order val="4"/>
          <c:tx>
            <c:strRef>
              <c:f>'size and value'!$F$14</c:f>
              <c:strCache>
                <c:ptCount val="1"/>
                <c:pt idx="0">
                  <c:v>Upper Bound</c:v>
                </c:pt>
              </c:strCache>
            </c:strRef>
          </c:tx>
          <c:spPr>
            <a:solidFill>
              <a:schemeClr val="accent1">
                <a:lumMod val="40000"/>
                <a:lumOff val="60000"/>
              </a:schemeClr>
            </a:solidFill>
            <a:ln>
              <a:noFill/>
            </a:ln>
            <a:effectLst/>
          </c:spPr>
          <c:cat>
            <c:strRef>
              <c:f>'size and value'!$A$15:$A$25</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'size and value'!$F$15:$F$25</c:f>
              <c:numCache>
                <c:formatCode>General</c:formatCode>
                <c:ptCount val="11"/>
                <c:pt idx="0">
                  <c:v>-0.78900000000000003</c:v>
                </c:pt>
                <c:pt idx="1">
                  <c:v>-0.70200000000000018</c:v>
                </c:pt>
                <c:pt idx="2">
                  <c:v>-0.66700000000000015</c:v>
                </c:pt>
                <c:pt idx="3">
                  <c:v>-0.67300000000000015</c:v>
                </c:pt>
                <c:pt idx="4">
                  <c:v>-0.70200000000000018</c:v>
                </c:pt>
                <c:pt idx="5">
                  <c:v>-0.68099999999999994</c:v>
                </c:pt>
                <c:pt idx="6">
                  <c:v>-0.70100000000000018</c:v>
                </c:pt>
                <c:pt idx="7">
                  <c:v>-0.83400000000000019</c:v>
                </c:pt>
                <c:pt idx="8">
                  <c:v>-0.84200000000000019</c:v>
                </c:pt>
                <c:pt idx="9">
                  <c:v>-0.84400000000000019</c:v>
                </c:pt>
                <c:pt idx="10">
                  <c:v>-0.71900000000000019</c:v>
                </c:pt>
              </c:numCache>
            </c:numRef>
          </c:val>
          <c:extLst xmlns:c16r2="http://schemas.microsoft.com/office/drawing/2015/06/chart">
            <c:ext xmlns:c16="http://schemas.microsoft.com/office/drawing/2014/chart" uri="{C3380CC4-5D6E-409C-BE32-E72D297353CC}">
              <c16:uniqueId val="{00000002-7C93-4CEE-AD5C-276FF07486E9}"/>
            </c:ext>
          </c:extLst>
        </c:ser>
        <c:ser>
          <c:idx val="5"/>
          <c:order val="5"/>
          <c:tx>
            <c:strRef>
              <c:f>'size and value'!$G$14</c:f>
              <c:strCache>
                <c:ptCount val="1"/>
                <c:pt idx="0">
                  <c:v>Lower Bound</c:v>
                </c:pt>
              </c:strCache>
            </c:strRef>
          </c:tx>
          <c:spPr>
            <a:solidFill>
              <a:schemeClr val="bg1"/>
            </a:solidFill>
            <a:ln>
              <a:noFill/>
            </a:ln>
            <a:effectLst/>
          </c:spPr>
          <c:cat>
            <c:strRef>
              <c:f>'size and value'!$A$15:$A$25</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'size and value'!$G$15:$G$25</c:f>
              <c:numCache>
                <c:formatCode>General</c:formatCode>
                <c:ptCount val="11"/>
                <c:pt idx="0">
                  <c:v>-1.081</c:v>
                </c:pt>
                <c:pt idx="1">
                  <c:v>-0.99</c:v>
                </c:pt>
                <c:pt idx="2">
                  <c:v>-0.96700000000000019</c:v>
                </c:pt>
                <c:pt idx="3">
                  <c:v>-0.9730000000000002</c:v>
                </c:pt>
                <c:pt idx="4">
                  <c:v>-0.98599999999999999</c:v>
                </c:pt>
                <c:pt idx="5">
                  <c:v>-0.9770000000000002</c:v>
                </c:pt>
                <c:pt idx="6">
                  <c:v>-0.997</c:v>
                </c:pt>
                <c:pt idx="7">
                  <c:v>-1.1259999999999994</c:v>
                </c:pt>
                <c:pt idx="8">
                  <c:v>-1.1219999999999994</c:v>
                </c:pt>
                <c:pt idx="9">
                  <c:v>-1.1200000000000001</c:v>
                </c:pt>
                <c:pt idx="10">
                  <c:v>-1.0229999999999995</c:v>
                </c:pt>
              </c:numCache>
            </c:numRef>
          </c:val>
          <c:extLst xmlns:c16r2="http://schemas.microsoft.com/office/drawing/2015/06/chart">
            <c:ext xmlns:c16="http://schemas.microsoft.com/office/drawing/2014/chart" uri="{C3380CC4-5D6E-409C-BE32-E72D297353CC}">
              <c16:uniqueId val="{00000003-7C93-4CEE-AD5C-276FF07486E9}"/>
            </c:ext>
          </c:extLst>
        </c:ser>
        <c:axId val="90619264"/>
        <c:axId val="90666112"/>
      </c:areaChart>
      <c:lineChart>
        <c:grouping val="standard"/>
        <c:ser>
          <c:idx val="0"/>
          <c:order val="0"/>
          <c:tx>
            <c:strRef>
              <c:f>'size and value'!$B$14</c:f>
              <c:strCache>
                <c:ptCount val="1"/>
                <c:pt idx="0">
                  <c:v>FL</c:v>
                </c:pt>
              </c:strCache>
            </c:strRef>
          </c:tx>
          <c:spPr>
            <a:ln w="28575" cap="rnd">
              <a:solidFill>
                <a:schemeClr val="accent1"/>
              </a:solidFill>
              <a:round/>
            </a:ln>
            <a:effectLst/>
          </c:spPr>
          <c:marker>
            <c:symbol val="none"/>
          </c:marker>
          <c:cat>
            <c:strRef>
              <c:f>'size and value'!$A$15:$A$25</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'size and value'!$B$15:$B$25</c:f>
              <c:numCache>
                <c:formatCode>General</c:formatCode>
                <c:ptCount val="11"/>
                <c:pt idx="0">
                  <c:v>-0.34800000000000009</c:v>
                </c:pt>
                <c:pt idx="1">
                  <c:v>-0.54200000000000004</c:v>
                </c:pt>
                <c:pt idx="2">
                  <c:v>-0.61000000000000021</c:v>
                </c:pt>
                <c:pt idx="3">
                  <c:v>-0.65000000000000024</c:v>
                </c:pt>
                <c:pt idx="4">
                  <c:v>-0.61100000000000021</c:v>
                </c:pt>
                <c:pt idx="5">
                  <c:v>-0.64800000000000024</c:v>
                </c:pt>
                <c:pt idx="6">
                  <c:v>-0.70100000000000018</c:v>
                </c:pt>
                <c:pt idx="7">
                  <c:v>-0.40800000000000008</c:v>
                </c:pt>
                <c:pt idx="8">
                  <c:v>-0.37800000000000011</c:v>
                </c:pt>
                <c:pt idx="9">
                  <c:v>-0.39800000000000013</c:v>
                </c:pt>
                <c:pt idx="10">
                  <c:v>-0.73200000000000021</c:v>
                </c:pt>
              </c:numCache>
            </c:numRef>
          </c:val>
          <c:extLst xmlns:c16r2="http://schemas.microsoft.com/office/drawing/2015/06/chart">
            <c:ext xmlns:c16="http://schemas.microsoft.com/office/drawing/2014/chart" uri="{C3380CC4-5D6E-409C-BE32-E72D297353CC}">
              <c16:uniqueId val="{00000004-7C93-4CEE-AD5C-276FF07486E9}"/>
            </c:ext>
          </c:extLst>
        </c:ser>
        <c:ser>
          <c:idx val="3"/>
          <c:order val="3"/>
          <c:tx>
            <c:strRef>
              <c:f>'size and value'!$E$14</c:f>
              <c:strCache>
                <c:ptCount val="1"/>
                <c:pt idx="0">
                  <c:v>NFL</c:v>
                </c:pt>
              </c:strCache>
            </c:strRef>
          </c:tx>
          <c:spPr>
            <a:ln w="28575" cap="rnd">
              <a:solidFill>
                <a:schemeClr val="accent4"/>
              </a:solidFill>
              <a:round/>
            </a:ln>
            <a:effectLst/>
          </c:spPr>
          <c:marker>
            <c:symbol val="none"/>
          </c:marker>
          <c:cat>
            <c:strRef>
              <c:f>'size and value'!$A$15:$A$25</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'size and value'!$E$15:$E$25</c:f>
              <c:numCache>
                <c:formatCode>General</c:formatCode>
                <c:ptCount val="11"/>
                <c:pt idx="0">
                  <c:v>-0.93500000000000005</c:v>
                </c:pt>
                <c:pt idx="1">
                  <c:v>-0.8460000000000002</c:v>
                </c:pt>
                <c:pt idx="2">
                  <c:v>-0.81699999999999995</c:v>
                </c:pt>
                <c:pt idx="3">
                  <c:v>-0.82299999999999995</c:v>
                </c:pt>
                <c:pt idx="4">
                  <c:v>-0.84400000000000019</c:v>
                </c:pt>
                <c:pt idx="5">
                  <c:v>-0.82900000000000018</c:v>
                </c:pt>
                <c:pt idx="6">
                  <c:v>-0.8490000000000002</c:v>
                </c:pt>
                <c:pt idx="7">
                  <c:v>-0.98</c:v>
                </c:pt>
                <c:pt idx="8">
                  <c:v>-0.98199999999999998</c:v>
                </c:pt>
                <c:pt idx="9">
                  <c:v>-0.98199999999999998</c:v>
                </c:pt>
                <c:pt idx="10">
                  <c:v>-0.87100000000000022</c:v>
                </c:pt>
              </c:numCache>
            </c:numRef>
          </c:val>
          <c:extLst xmlns:c16r2="http://schemas.microsoft.com/office/drawing/2015/06/chart">
            <c:ext xmlns:c16="http://schemas.microsoft.com/office/drawing/2014/chart" uri="{C3380CC4-5D6E-409C-BE32-E72D297353CC}">
              <c16:uniqueId val="{00000005-7C93-4CEE-AD5C-276FF07486E9}"/>
            </c:ext>
          </c:extLst>
        </c:ser>
        <c:marker val="1"/>
        <c:axId val="90619264"/>
        <c:axId val="90666112"/>
      </c:lineChart>
      <c:catAx>
        <c:axId val="9061926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666112"/>
        <c:crosses val="autoZero"/>
        <c:auto val="1"/>
        <c:lblAlgn val="ctr"/>
        <c:lblOffset val="100"/>
      </c:catAx>
      <c:valAx>
        <c:axId val="90666112"/>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61926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Symmetric</a:t>
            </a:r>
            <a:r>
              <a:rPr lang="en-US" b="1" baseline="0">
                <a:latin typeface="Times New Roman" panose="02020603050405020304" pitchFamily="18" charset="0"/>
                <a:cs typeface="Times New Roman" panose="02020603050405020304" pitchFamily="18" charset="0"/>
              </a:rPr>
              <a:t> Volatiliy (Excess Return Model) of Both Portfolios using CAPM</a:t>
            </a:r>
          </a:p>
        </c:rich>
      </c:tx>
      <c:spPr>
        <a:noFill/>
        <a:ln w="25400">
          <a:noFill/>
        </a:ln>
      </c:spPr>
    </c:title>
    <c:plotArea>
      <c:layout/>
      <c:lineChart>
        <c:grouping val="standard"/>
        <c:ser>
          <c:idx val="0"/>
          <c:order val="0"/>
          <c:tx>
            <c:strRef>
              <c:f>'[Chart in Microsoft PowerPoint]Sheet1'!$C$3</c:f>
              <c:strCache>
                <c:ptCount val="1"/>
                <c:pt idx="0">
                  <c:v>FL</c:v>
                </c:pt>
              </c:strCache>
            </c:strRef>
          </c:tx>
          <c:spPr>
            <a:ln w="28575" cap="rnd">
              <a:solidFill>
                <a:schemeClr val="accent1"/>
              </a:solidFill>
              <a:round/>
            </a:ln>
            <a:effectLst/>
          </c:spPr>
          <c:marker>
            <c:symbol val="none"/>
          </c:marker>
          <c:cat>
            <c:strRef>
              <c:f>'[Chart in Microsoft PowerPoint]Sheet1'!$B$4:$B$14</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'[Chart in Microsoft PowerPoint]Sheet1'!$C$4:$C$14</c:f>
              <c:numCache>
                <c:formatCode>0.000</c:formatCode>
                <c:ptCount val="11"/>
                <c:pt idx="0">
                  <c:v>1.2350979999999998</c:v>
                </c:pt>
                <c:pt idx="1">
                  <c:v>1.4051269999999996</c:v>
                </c:pt>
                <c:pt idx="2">
                  <c:v>1.4412129999999999</c:v>
                </c:pt>
                <c:pt idx="3">
                  <c:v>1.4714479999999999</c:v>
                </c:pt>
                <c:pt idx="4">
                  <c:v>1.4647629999999998</c:v>
                </c:pt>
                <c:pt idx="5">
                  <c:v>1.4096999999999993</c:v>
                </c:pt>
                <c:pt idx="6">
                  <c:v>1.6436989999999998</c:v>
                </c:pt>
                <c:pt idx="7">
                  <c:v>1.3248519999999999</c:v>
                </c:pt>
                <c:pt idx="8">
                  <c:v>1.6341209999999999</c:v>
                </c:pt>
                <c:pt idx="9">
                  <c:v>1.5303309999999999</c:v>
                </c:pt>
                <c:pt idx="10">
                  <c:v>1.3961510000000001</c:v>
                </c:pt>
              </c:numCache>
            </c:numRef>
          </c:val>
          <c:extLst xmlns:c16r2="http://schemas.microsoft.com/office/drawing/2015/06/chart">
            <c:ext xmlns:c16="http://schemas.microsoft.com/office/drawing/2014/chart" uri="{C3380CC4-5D6E-409C-BE32-E72D297353CC}">
              <c16:uniqueId val="{00000000-A3D3-4864-88A5-44E557183F5D}"/>
            </c:ext>
          </c:extLst>
        </c:ser>
        <c:ser>
          <c:idx val="1"/>
          <c:order val="1"/>
          <c:tx>
            <c:strRef>
              <c:f>'[Chart in Microsoft PowerPoint]Sheet1'!$D$3</c:f>
              <c:strCache>
                <c:ptCount val="1"/>
                <c:pt idx="0">
                  <c:v>NFL</c:v>
                </c:pt>
              </c:strCache>
            </c:strRef>
          </c:tx>
          <c:spPr>
            <a:ln w="28575" cap="rnd">
              <a:solidFill>
                <a:schemeClr val="accent2"/>
              </a:solidFill>
              <a:round/>
            </a:ln>
            <a:effectLst/>
          </c:spPr>
          <c:marker>
            <c:symbol val="none"/>
          </c:marker>
          <c:cat>
            <c:strRef>
              <c:f>'[Chart in Microsoft PowerPoint]Sheet1'!$B$4:$B$14</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'[Chart in Microsoft PowerPoint]Sheet1'!$D$4:$D$14</c:f>
              <c:numCache>
                <c:formatCode>0.000</c:formatCode>
                <c:ptCount val="11"/>
                <c:pt idx="0">
                  <c:v>1.665748</c:v>
                </c:pt>
                <c:pt idx="1">
                  <c:v>1.5363939999999998</c:v>
                </c:pt>
                <c:pt idx="2">
                  <c:v>1.6067819999999999</c:v>
                </c:pt>
                <c:pt idx="3">
                  <c:v>1.5484659999999999</c:v>
                </c:pt>
                <c:pt idx="4">
                  <c:v>1.5418729999999998</c:v>
                </c:pt>
                <c:pt idx="5">
                  <c:v>1.580122</c:v>
                </c:pt>
                <c:pt idx="6">
                  <c:v>1.4277889999999998</c:v>
                </c:pt>
                <c:pt idx="7">
                  <c:v>1.637384</c:v>
                </c:pt>
                <c:pt idx="8">
                  <c:v>1.4748559999999999</c:v>
                </c:pt>
                <c:pt idx="9">
                  <c:v>1.4867909999999998</c:v>
                </c:pt>
                <c:pt idx="10">
                  <c:v>1.582163</c:v>
                </c:pt>
              </c:numCache>
            </c:numRef>
          </c:val>
          <c:extLst xmlns:c16r2="http://schemas.microsoft.com/office/drawing/2015/06/chart">
            <c:ext xmlns:c16="http://schemas.microsoft.com/office/drawing/2014/chart" uri="{C3380CC4-5D6E-409C-BE32-E72D297353CC}">
              <c16:uniqueId val="{00000001-A3D3-4864-88A5-44E557183F5D}"/>
            </c:ext>
          </c:extLst>
        </c:ser>
        <c:marker val="1"/>
        <c:axId val="90839296"/>
        <c:axId val="90849280"/>
      </c:lineChart>
      <c:catAx>
        <c:axId val="9083929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849280"/>
        <c:crosses val="autoZero"/>
        <c:auto val="1"/>
        <c:lblAlgn val="ctr"/>
        <c:lblOffset val="100"/>
      </c:catAx>
      <c:valAx>
        <c:axId val="90849280"/>
        <c:scaling>
          <c:orientation val="minMax"/>
        </c:scaling>
        <c:axPos val="l"/>
        <c:majorGridlines>
          <c:spPr>
            <a:ln w="9525" cap="flat" cmpd="sng" algn="ctr">
              <a:solidFill>
                <a:schemeClr val="tx1">
                  <a:lumMod val="15000"/>
                  <a:lumOff val="85000"/>
                </a:schemeClr>
              </a:solidFill>
              <a:round/>
            </a:ln>
            <a:effectLst/>
          </c:spPr>
        </c:majorGridlines>
        <c:numFmt formatCode="0.000" sourceLinked="1"/>
        <c:maj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839296"/>
        <c:crosses val="autoZero"/>
        <c:crossBetween val="between"/>
      </c:valAx>
      <c:spPr>
        <a:noFill/>
        <a:ln w="25400">
          <a:noFill/>
        </a:ln>
      </c:spPr>
    </c:plotArea>
    <c:legend>
      <c:legendPos val="b"/>
      <c:spPr>
        <a:noFill/>
        <a:ln w="25400">
          <a:noFill/>
        </a:ln>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Symmetric</a:t>
            </a:r>
            <a:r>
              <a:rPr lang="en-US" b="1" baseline="0">
                <a:latin typeface="Times New Roman" panose="02020603050405020304" pitchFamily="18" charset="0"/>
                <a:cs typeface="Times New Roman" panose="02020603050405020304" pitchFamily="18" charset="0"/>
              </a:rPr>
              <a:t> Volatiliy (Excess Return Model) of Both Portfolios using Factor Model</a:t>
            </a:r>
          </a:p>
        </c:rich>
      </c:tx>
      <c:spPr>
        <a:noFill/>
        <a:ln w="25400">
          <a:noFill/>
        </a:ln>
      </c:spPr>
    </c:title>
    <c:plotArea>
      <c:layout/>
      <c:lineChart>
        <c:grouping val="standard"/>
        <c:ser>
          <c:idx val="0"/>
          <c:order val="0"/>
          <c:tx>
            <c:strRef>
              <c:f>'[Chart in Microsoft PowerPoint]Sheet1'!$C$3</c:f>
              <c:strCache>
                <c:ptCount val="1"/>
                <c:pt idx="0">
                  <c:v>FL</c:v>
                </c:pt>
              </c:strCache>
            </c:strRef>
          </c:tx>
          <c:spPr>
            <a:ln w="28575" cap="rnd">
              <a:solidFill>
                <a:schemeClr val="accent1"/>
              </a:solidFill>
              <a:round/>
            </a:ln>
            <a:effectLst/>
          </c:spPr>
          <c:marker>
            <c:symbol val="none"/>
          </c:marker>
          <c:cat>
            <c:strRef>
              <c:f>'[Chart in Microsoft PowerPoint]Sheet1'!$B$4:$B$14</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'[Chart in Microsoft PowerPoint]Sheet1'!$C$4:$C$14</c:f>
              <c:numCache>
                <c:formatCode>General</c:formatCode>
                <c:ptCount val="11"/>
                <c:pt idx="0">
                  <c:v>1.6840000000000006</c:v>
                </c:pt>
                <c:pt idx="1">
                  <c:v>1.8029999999999995</c:v>
                </c:pt>
                <c:pt idx="2">
                  <c:v>1.8359999999999994</c:v>
                </c:pt>
                <c:pt idx="3">
                  <c:v>1.8690000000000002</c:v>
                </c:pt>
                <c:pt idx="4">
                  <c:v>1.863</c:v>
                </c:pt>
                <c:pt idx="5">
                  <c:v>1.9830000000000001</c:v>
                </c:pt>
                <c:pt idx="6">
                  <c:v>1.839</c:v>
                </c:pt>
                <c:pt idx="7">
                  <c:v>2.04</c:v>
                </c:pt>
                <c:pt idx="8">
                  <c:v>1.8770000000000002</c:v>
                </c:pt>
                <c:pt idx="9">
                  <c:v>1.8900000000000001</c:v>
                </c:pt>
                <c:pt idx="10">
                  <c:v>1.9880000000000004</c:v>
                </c:pt>
              </c:numCache>
            </c:numRef>
          </c:val>
          <c:extLst xmlns:c16r2="http://schemas.microsoft.com/office/drawing/2015/06/chart">
            <c:ext xmlns:c16="http://schemas.microsoft.com/office/drawing/2014/chart" uri="{C3380CC4-5D6E-409C-BE32-E72D297353CC}">
              <c16:uniqueId val="{00000000-D5A9-46BE-A945-1A6D6DB511DC}"/>
            </c:ext>
          </c:extLst>
        </c:ser>
        <c:ser>
          <c:idx val="1"/>
          <c:order val="1"/>
          <c:tx>
            <c:strRef>
              <c:f>'[Chart in Microsoft PowerPoint]Sheet1'!$D$3</c:f>
              <c:strCache>
                <c:ptCount val="1"/>
                <c:pt idx="0">
                  <c:v>NFL</c:v>
                </c:pt>
              </c:strCache>
            </c:strRef>
          </c:tx>
          <c:spPr>
            <a:ln w="28575" cap="rnd">
              <a:solidFill>
                <a:schemeClr val="accent2"/>
              </a:solidFill>
              <a:round/>
            </a:ln>
            <a:effectLst/>
          </c:spPr>
          <c:marker>
            <c:symbol val="none"/>
          </c:marker>
          <c:cat>
            <c:strRef>
              <c:f>'[Chart in Microsoft PowerPoint]Sheet1'!$B$4:$B$14</c:f>
              <c:strCache>
                <c:ptCount val="11"/>
                <c:pt idx="0">
                  <c:v>2013H1</c:v>
                </c:pt>
                <c:pt idx="1">
                  <c:v>2013H2</c:v>
                </c:pt>
                <c:pt idx="2">
                  <c:v>2014H1</c:v>
                </c:pt>
                <c:pt idx="3">
                  <c:v>2014H2</c:v>
                </c:pt>
                <c:pt idx="4">
                  <c:v>2015H1</c:v>
                </c:pt>
                <c:pt idx="5">
                  <c:v>2015H2</c:v>
                </c:pt>
                <c:pt idx="6">
                  <c:v>2016H1</c:v>
                </c:pt>
                <c:pt idx="7">
                  <c:v>2016H2</c:v>
                </c:pt>
                <c:pt idx="8">
                  <c:v>2017H1</c:v>
                </c:pt>
                <c:pt idx="9">
                  <c:v>2017H2</c:v>
                </c:pt>
                <c:pt idx="10">
                  <c:v>2018H1</c:v>
                </c:pt>
              </c:strCache>
            </c:strRef>
          </c:cat>
          <c:val>
            <c:numRef>
              <c:f>'[Chart in Microsoft PowerPoint]Sheet1'!$D$4:$D$14</c:f>
              <c:numCache>
                <c:formatCode>General</c:formatCode>
                <c:ptCount val="11"/>
                <c:pt idx="0">
                  <c:v>1.669</c:v>
                </c:pt>
                <c:pt idx="1">
                  <c:v>1.5409999999999995</c:v>
                </c:pt>
                <c:pt idx="2">
                  <c:v>1.609</c:v>
                </c:pt>
                <c:pt idx="3">
                  <c:v>1.552</c:v>
                </c:pt>
                <c:pt idx="4">
                  <c:v>1.405999999999999</c:v>
                </c:pt>
                <c:pt idx="5">
                  <c:v>1.6439999999999995</c:v>
                </c:pt>
                <c:pt idx="6">
                  <c:v>1.3620000000000001</c:v>
                </c:pt>
                <c:pt idx="7">
                  <c:v>1.631</c:v>
                </c:pt>
                <c:pt idx="8">
                  <c:v>1.5309999999999995</c:v>
                </c:pt>
                <c:pt idx="9">
                  <c:v>1.397</c:v>
                </c:pt>
                <c:pt idx="10">
                  <c:v>1.546</c:v>
                </c:pt>
              </c:numCache>
            </c:numRef>
          </c:val>
          <c:extLst xmlns:c16r2="http://schemas.microsoft.com/office/drawing/2015/06/chart">
            <c:ext xmlns:c16="http://schemas.microsoft.com/office/drawing/2014/chart" uri="{C3380CC4-5D6E-409C-BE32-E72D297353CC}">
              <c16:uniqueId val="{00000001-D5A9-46BE-A945-1A6D6DB511DC}"/>
            </c:ext>
          </c:extLst>
        </c:ser>
        <c:marker val="1"/>
        <c:axId val="90907776"/>
        <c:axId val="90909312"/>
      </c:lineChart>
      <c:catAx>
        <c:axId val="909077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909312"/>
        <c:crosses val="autoZero"/>
        <c:auto val="1"/>
        <c:lblAlgn val="ctr"/>
        <c:lblOffset val="100"/>
      </c:catAx>
      <c:valAx>
        <c:axId val="9090931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ln w="6350">
            <a:noFill/>
          </a:ln>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0907776"/>
        <c:crosses val="autoZero"/>
        <c:crossBetween val="between"/>
      </c:valAx>
      <c:spPr>
        <a:noFill/>
        <a:ln w="25400">
          <a:noFill/>
        </a:ln>
      </c:spPr>
    </c:plotArea>
    <c:legend>
      <c:legendPos val="b"/>
      <c:spPr>
        <a:noFill/>
        <a:ln w="25400">
          <a:noFill/>
        </a:ln>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44D84-7800-4E17-8C7E-DA653F6B1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17958</Words>
  <Characters>102364</Characters>
  <Application>Microsoft Office Word</Application>
  <DocSecurity>0</DocSecurity>
  <Lines>853</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Sadia</dc:creator>
  <cp:lastModifiedBy>Sadia J-10</cp:lastModifiedBy>
  <cp:revision>4</cp:revision>
  <cp:lastPrinted>2018-12-14T09:23:00Z</cp:lastPrinted>
  <dcterms:created xsi:type="dcterms:W3CDTF">2018-12-14T09:22:00Z</dcterms:created>
  <dcterms:modified xsi:type="dcterms:W3CDTF">2018-12-14T09:23:00Z</dcterms:modified>
</cp:coreProperties>
</file>